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宋体" w:hAnsi="宋体"/>
          <w:b/>
          <w:sz w:val="44"/>
          <w:szCs w:val="44"/>
        </w:rPr>
      </w:pPr>
      <w:r>
        <w:rPr>
          <w:rFonts w:hint="eastAsia" w:ascii="宋体" w:hAnsi="宋体"/>
          <w:b/>
          <w:sz w:val="24"/>
        </w:rPr>
        <w:t xml:space="preserve"> </w:t>
      </w:r>
      <w:r>
        <w:rPr>
          <w:rFonts w:ascii="宋体" w:hAnsi="宋体"/>
          <w:b/>
          <w:sz w:val="44"/>
          <w:szCs w:val="44"/>
        </w:rPr>
        <w:t>20</w:t>
      </w:r>
      <w:r>
        <w:rPr>
          <w:rFonts w:hint="eastAsia" w:ascii="宋体" w:hAnsi="宋体"/>
          <w:b/>
          <w:sz w:val="44"/>
          <w:szCs w:val="44"/>
        </w:rPr>
        <w:t>2</w:t>
      </w:r>
      <w:r>
        <w:rPr>
          <w:rFonts w:hint="eastAsia" w:ascii="宋体" w:hAnsi="宋体"/>
          <w:b/>
          <w:sz w:val="44"/>
          <w:szCs w:val="44"/>
          <w:lang w:val="en-US" w:eastAsia="zh-CN"/>
        </w:rPr>
        <w:t>3</w:t>
      </w:r>
      <w:r>
        <w:rPr>
          <w:rFonts w:ascii="宋体" w:hAnsi="宋体"/>
          <w:b/>
          <w:sz w:val="44"/>
          <w:szCs w:val="44"/>
        </w:rPr>
        <w:t>年</w:t>
      </w:r>
      <w:r>
        <w:rPr>
          <w:rFonts w:hint="eastAsia" w:ascii="宋体" w:hAnsi="宋体"/>
          <w:b/>
          <w:sz w:val="44"/>
          <w:szCs w:val="44"/>
          <w:lang w:val="en-US" w:eastAsia="zh-CN"/>
        </w:rPr>
        <w:t>第三季度</w:t>
      </w:r>
      <w:r>
        <w:rPr>
          <w:rFonts w:hint="eastAsia" w:ascii="宋体" w:hAnsi="宋体"/>
          <w:b/>
          <w:sz w:val="44"/>
          <w:szCs w:val="44"/>
        </w:rPr>
        <w:t>张家港市人力资源</w:t>
      </w:r>
    </w:p>
    <w:p>
      <w:pPr>
        <w:adjustRightInd w:val="0"/>
        <w:snapToGrid w:val="0"/>
        <w:spacing w:line="360" w:lineRule="auto"/>
        <w:jc w:val="center"/>
        <w:rPr>
          <w:rFonts w:ascii="宋体" w:hAnsi="宋体"/>
          <w:b/>
          <w:sz w:val="44"/>
          <w:szCs w:val="44"/>
        </w:rPr>
      </w:pPr>
      <w:r>
        <w:rPr>
          <w:rFonts w:ascii="宋体" w:hAnsi="宋体"/>
          <w:b/>
          <w:sz w:val="44"/>
          <w:szCs w:val="44"/>
        </w:rPr>
        <w:t>市场供求状况分析</w:t>
      </w:r>
    </w:p>
    <w:p>
      <w:pPr>
        <w:adjustRightInd w:val="0"/>
        <w:snapToGrid w:val="0"/>
        <w:spacing w:line="360" w:lineRule="auto"/>
        <w:jc w:val="center"/>
        <w:rPr>
          <w:rFonts w:ascii="宋体" w:hAnsi="宋体"/>
          <w:sz w:val="24"/>
        </w:rPr>
      </w:pPr>
    </w:p>
    <w:p>
      <w:pPr>
        <w:adjustRightInd w:val="0"/>
        <w:snapToGrid w:val="0"/>
        <w:spacing w:line="360" w:lineRule="auto"/>
        <w:jc w:val="center"/>
        <w:rPr>
          <w:rFonts w:ascii="宋体" w:hAnsi="宋体"/>
          <w:sz w:val="24"/>
        </w:rPr>
      </w:pPr>
      <w:r>
        <w:rPr>
          <w:rFonts w:hint="eastAsia" w:ascii="宋体" w:hAnsi="宋体"/>
          <w:sz w:val="24"/>
        </w:rPr>
        <w:t>张家港市人力资源管理服务中心</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2" w:firstLineChars="200"/>
        <w:jc w:val="left"/>
        <w:textAlignment w:val="auto"/>
        <w:rPr>
          <w:rFonts w:ascii="宋体" w:hAnsi="宋体" w:cs="宋体"/>
          <w:b/>
          <w:bCs/>
          <w:kern w:val="0"/>
          <w:sz w:val="24"/>
        </w:rPr>
      </w:pPr>
      <w:r>
        <w:rPr>
          <w:rFonts w:hint="eastAsia" w:ascii="宋体" w:hAnsi="宋体" w:cs="宋体"/>
          <w:b/>
          <w:bCs/>
          <w:kern w:val="0"/>
          <w:sz w:val="24"/>
        </w:rPr>
        <w:t>一、人力资源市场总体数据概况</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宋体" w:hAnsi="宋体" w:cs="宋体"/>
          <w:b/>
          <w:bCs/>
          <w:kern w:val="0"/>
          <w:sz w:val="24"/>
        </w:rPr>
      </w:pPr>
      <w:r>
        <w:rPr>
          <w:rFonts w:hint="eastAsia" w:ascii="宋体" w:hAnsi="宋体" w:cs="宋体"/>
          <w:kern w:val="0"/>
          <w:sz w:val="24"/>
        </w:rPr>
        <w:t>今年</w:t>
      </w:r>
      <w:r>
        <w:rPr>
          <w:rFonts w:hint="eastAsia" w:ascii="宋体" w:hAnsi="宋体" w:cs="宋体"/>
          <w:kern w:val="0"/>
          <w:sz w:val="24"/>
          <w:lang w:val="en-US" w:eastAsia="zh-CN"/>
        </w:rPr>
        <w:t>第三季度</w:t>
      </w:r>
      <w:r>
        <w:rPr>
          <w:rFonts w:hint="eastAsia" w:ascii="宋体" w:hAnsi="宋体" w:cs="宋体"/>
          <w:kern w:val="0"/>
          <w:sz w:val="24"/>
        </w:rPr>
        <w:t>，我市人力资源市场共提供岗位需求</w:t>
      </w:r>
      <w:r>
        <w:rPr>
          <w:rFonts w:hint="eastAsia" w:ascii="宋体" w:hAnsi="宋体" w:cs="宋体"/>
          <w:kern w:val="0"/>
          <w:sz w:val="24"/>
          <w:lang w:val="en-US" w:eastAsia="zh-CN"/>
        </w:rPr>
        <w:t>49139</w:t>
      </w:r>
      <w:r>
        <w:rPr>
          <w:rFonts w:hint="eastAsia" w:ascii="宋体" w:hAnsi="宋体" w:cs="宋体"/>
          <w:kern w:val="0"/>
          <w:sz w:val="24"/>
        </w:rPr>
        <w:t>个次，求职者</w:t>
      </w:r>
      <w:r>
        <w:rPr>
          <w:rFonts w:hint="eastAsia" w:ascii="宋体" w:hAnsi="宋体" w:cs="宋体"/>
          <w:kern w:val="0"/>
          <w:sz w:val="24"/>
          <w:lang w:val="en-US" w:eastAsia="zh-CN"/>
        </w:rPr>
        <w:t>41082</w:t>
      </w:r>
      <w:r>
        <w:rPr>
          <w:rFonts w:hint="eastAsia" w:ascii="宋体" w:hAnsi="宋体" w:cs="宋体"/>
          <w:kern w:val="0"/>
          <w:sz w:val="24"/>
        </w:rPr>
        <w:t>人次，求人倍率为1.2</w:t>
      </w:r>
      <w:r>
        <w:rPr>
          <w:rFonts w:hint="eastAsia" w:ascii="宋体" w:hAnsi="宋体" w:cs="宋体"/>
          <w:kern w:val="0"/>
          <w:sz w:val="24"/>
          <w:lang w:val="en-US" w:eastAsia="zh-CN"/>
        </w:rPr>
        <w:t>0</w:t>
      </w:r>
      <w:r>
        <w:rPr>
          <w:rFonts w:hint="eastAsia" w:ascii="宋体" w:hAnsi="宋体" w:cs="宋体"/>
          <w:kern w:val="0"/>
          <w:sz w:val="24"/>
        </w:rPr>
        <w:t>，求人倍率较</w:t>
      </w:r>
      <w:r>
        <w:rPr>
          <w:rFonts w:hint="eastAsia" w:ascii="宋体" w:hAnsi="宋体" w:cs="宋体"/>
          <w:color w:val="auto"/>
          <w:kern w:val="0"/>
          <w:sz w:val="24"/>
          <w:highlight w:val="none"/>
        </w:rPr>
        <w:t>202</w:t>
      </w:r>
      <w:r>
        <w:rPr>
          <w:rFonts w:hint="eastAsia" w:ascii="宋体" w:hAnsi="宋体" w:cs="宋体"/>
          <w:color w:val="auto"/>
          <w:kern w:val="0"/>
          <w:sz w:val="24"/>
          <w:highlight w:val="none"/>
          <w:lang w:val="en-US" w:eastAsia="zh-CN"/>
        </w:rPr>
        <w:t>2</w:t>
      </w:r>
      <w:r>
        <w:rPr>
          <w:rFonts w:hint="eastAsia" w:ascii="宋体" w:hAnsi="宋体" w:cs="宋体"/>
          <w:kern w:val="0"/>
          <w:sz w:val="24"/>
        </w:rPr>
        <w:t>年同期</w:t>
      </w:r>
      <w:r>
        <w:rPr>
          <w:rFonts w:hint="eastAsia" w:ascii="宋体" w:hAnsi="宋体" w:cs="宋体"/>
          <w:kern w:val="0"/>
          <w:sz w:val="24"/>
          <w:lang w:val="en-US" w:eastAsia="zh-CN"/>
        </w:rPr>
        <w:t>有所下降</w:t>
      </w:r>
      <w:r>
        <w:rPr>
          <w:rFonts w:hint="eastAsia" w:ascii="宋体" w:hAnsi="宋体" w:cs="宋体"/>
          <w:kern w:val="0"/>
          <w:sz w:val="24"/>
        </w:rPr>
        <w:t>。我市人力资源市场、各</w:t>
      </w:r>
      <w:r>
        <w:rPr>
          <w:rFonts w:hint="eastAsia" w:ascii="宋体" w:hAnsi="宋体" w:cs="宋体"/>
          <w:kern w:val="0"/>
          <w:sz w:val="24"/>
          <w:lang w:val="en-US" w:eastAsia="zh-CN"/>
        </w:rPr>
        <w:t>区镇（街道）</w:t>
      </w:r>
      <w:r>
        <w:rPr>
          <w:rFonts w:hint="eastAsia" w:ascii="宋体" w:hAnsi="宋体" w:cs="宋体"/>
          <w:kern w:val="0"/>
          <w:sz w:val="24"/>
        </w:rPr>
        <w:t>人力资源市场在开展线上招聘会、直播荐岗等云聘活动的同时陆续开展线下招聘会，本期数据主要来源于全市人力资源市场现场招聘会以及张家港市人才网站采集的供求状况信息，均为有效数据。</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2" w:firstLineChars="200"/>
        <w:jc w:val="left"/>
        <w:textAlignment w:val="auto"/>
        <w:rPr>
          <w:rFonts w:ascii="宋体" w:hAnsi="宋体"/>
          <w:b/>
          <w:sz w:val="24"/>
        </w:rPr>
      </w:pPr>
      <w:r>
        <w:rPr>
          <w:rFonts w:hint="eastAsia" w:ascii="宋体" w:hAnsi="宋体"/>
          <w:b/>
          <w:sz w:val="24"/>
        </w:rPr>
        <w:t>二</w:t>
      </w:r>
      <w:r>
        <w:rPr>
          <w:rFonts w:ascii="宋体" w:hAnsi="宋体"/>
          <w:b/>
          <w:sz w:val="24"/>
        </w:rPr>
        <w:t>、供求总体情况</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cs="宋体"/>
          <w:b/>
          <w:kern w:val="0"/>
          <w:sz w:val="24"/>
        </w:rPr>
      </w:pPr>
      <w:r>
        <w:rPr>
          <w:rFonts w:hint="eastAsia" w:ascii="宋体" w:hAnsi="宋体" w:cs="宋体"/>
          <w:b/>
          <w:kern w:val="0"/>
          <w:sz w:val="24"/>
        </w:rPr>
        <w:t>（一）供求总体状况</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ascii="宋体" w:hAnsi="宋体" w:cs="宋体"/>
          <w:color w:val="FF0000"/>
          <w:kern w:val="0"/>
          <w:sz w:val="24"/>
        </w:rPr>
      </w:pPr>
      <w:r>
        <w:rPr>
          <w:rFonts w:hint="eastAsia" w:ascii="宋体" w:hAnsi="宋体" w:cs="宋体"/>
          <w:kern w:val="0"/>
          <w:sz w:val="24"/>
          <w:lang w:val="en-US" w:eastAsia="zh-CN"/>
        </w:rPr>
        <w:t>今年第三季度需</w:t>
      </w:r>
      <w:r>
        <w:rPr>
          <w:rFonts w:hint="eastAsia" w:ascii="宋体" w:hAnsi="宋体" w:cs="宋体"/>
          <w:kern w:val="0"/>
          <w:sz w:val="24"/>
        </w:rPr>
        <w:t>求人数</w:t>
      </w:r>
      <w:r>
        <w:rPr>
          <w:rFonts w:hint="eastAsia" w:ascii="宋体" w:hAnsi="宋体" w:cs="宋体"/>
          <w:kern w:val="0"/>
          <w:sz w:val="24"/>
          <w:lang w:val="en-US" w:eastAsia="zh-CN"/>
        </w:rPr>
        <w:t>49139</w:t>
      </w:r>
      <w:r>
        <w:rPr>
          <w:rFonts w:hint="eastAsia" w:ascii="宋体" w:hAnsi="宋体" w:cs="宋体"/>
          <w:kern w:val="0"/>
          <w:sz w:val="24"/>
        </w:rPr>
        <w:t>人，与去年同期相比</w:t>
      </w:r>
      <w:r>
        <w:rPr>
          <w:rFonts w:hint="eastAsia" w:ascii="宋体" w:hAnsi="宋体" w:cs="宋体"/>
          <w:kern w:val="0"/>
          <w:sz w:val="24"/>
          <w:lang w:val="en-US" w:eastAsia="zh-CN"/>
        </w:rPr>
        <w:t>增加8741</w:t>
      </w:r>
      <w:r>
        <w:rPr>
          <w:rFonts w:hint="eastAsia" w:ascii="宋体" w:hAnsi="宋体" w:cs="宋体"/>
          <w:kern w:val="0"/>
          <w:sz w:val="24"/>
        </w:rPr>
        <w:t>人，</w:t>
      </w:r>
      <w:r>
        <w:rPr>
          <w:rFonts w:hint="eastAsia" w:ascii="宋体" w:hAnsi="宋体" w:cs="宋体"/>
          <w:kern w:val="0"/>
          <w:sz w:val="24"/>
          <w:lang w:val="en-US" w:eastAsia="zh-CN"/>
        </w:rPr>
        <w:t>增</w:t>
      </w:r>
      <w:r>
        <w:rPr>
          <w:rFonts w:hint="eastAsia" w:ascii="宋体" w:hAnsi="宋体" w:cs="宋体"/>
          <w:kern w:val="0"/>
          <w:sz w:val="24"/>
        </w:rPr>
        <w:t>幅为</w:t>
      </w:r>
      <w:r>
        <w:rPr>
          <w:rFonts w:hint="eastAsia" w:ascii="宋体" w:hAnsi="宋体" w:cs="宋体"/>
          <w:kern w:val="0"/>
          <w:sz w:val="24"/>
          <w:lang w:val="en-US" w:eastAsia="zh-CN"/>
        </w:rPr>
        <w:t>21.6</w:t>
      </w:r>
      <w:r>
        <w:rPr>
          <w:rFonts w:hint="eastAsia" w:ascii="宋体" w:hAnsi="宋体" w:cs="宋体"/>
          <w:kern w:val="0"/>
          <w:sz w:val="24"/>
        </w:rPr>
        <w:t>%。求职人数为</w:t>
      </w:r>
      <w:r>
        <w:rPr>
          <w:rFonts w:hint="eastAsia" w:ascii="宋体" w:hAnsi="宋体" w:cs="宋体"/>
          <w:kern w:val="0"/>
          <w:sz w:val="24"/>
          <w:lang w:val="en-US" w:eastAsia="zh-CN"/>
        </w:rPr>
        <w:t>41082</w:t>
      </w:r>
      <w:r>
        <w:rPr>
          <w:rFonts w:hint="eastAsia" w:ascii="宋体" w:hAnsi="宋体" w:cs="宋体"/>
          <w:kern w:val="0"/>
          <w:sz w:val="24"/>
        </w:rPr>
        <w:t>人，与去年同期相比</w:t>
      </w:r>
      <w:r>
        <w:rPr>
          <w:rFonts w:hint="eastAsia" w:ascii="宋体" w:hAnsi="宋体" w:cs="宋体"/>
          <w:kern w:val="0"/>
          <w:sz w:val="24"/>
          <w:lang w:val="en-US" w:eastAsia="zh-CN"/>
        </w:rPr>
        <w:t>增加7460</w:t>
      </w:r>
      <w:r>
        <w:rPr>
          <w:rFonts w:hint="eastAsia" w:ascii="宋体" w:hAnsi="宋体" w:cs="宋体"/>
          <w:kern w:val="0"/>
          <w:sz w:val="24"/>
        </w:rPr>
        <w:t>人，</w:t>
      </w:r>
      <w:r>
        <w:rPr>
          <w:rFonts w:hint="eastAsia" w:ascii="宋体" w:hAnsi="宋体" w:cs="宋体"/>
          <w:kern w:val="0"/>
          <w:sz w:val="24"/>
          <w:lang w:val="en-US" w:eastAsia="zh-CN"/>
        </w:rPr>
        <w:t>增</w:t>
      </w:r>
      <w:r>
        <w:rPr>
          <w:rFonts w:hint="eastAsia" w:ascii="宋体" w:hAnsi="宋体" w:cs="宋体"/>
          <w:kern w:val="0"/>
          <w:sz w:val="24"/>
        </w:rPr>
        <w:t>幅为</w:t>
      </w:r>
      <w:r>
        <w:rPr>
          <w:rFonts w:hint="eastAsia" w:ascii="宋体" w:hAnsi="宋体" w:cs="宋体"/>
          <w:kern w:val="0"/>
          <w:sz w:val="24"/>
          <w:lang w:val="en-US" w:eastAsia="zh-CN"/>
        </w:rPr>
        <w:t>22.2</w:t>
      </w:r>
      <w:r>
        <w:rPr>
          <w:rFonts w:hint="eastAsia" w:ascii="宋体" w:hAnsi="宋体" w:cs="宋体"/>
          <w:kern w:val="0"/>
          <w:sz w:val="24"/>
        </w:rPr>
        <w:t>%。</w:t>
      </w:r>
    </w:p>
    <w:p>
      <w:pPr>
        <w:adjustRightInd w:val="0"/>
        <w:snapToGrid w:val="0"/>
        <w:spacing w:line="360" w:lineRule="auto"/>
        <w:jc w:val="center"/>
        <w:rPr>
          <w:rFonts w:ascii="宋体" w:hAnsi="宋体"/>
          <w:sz w:val="24"/>
        </w:rPr>
      </w:pPr>
      <w:r>
        <w:rPr>
          <w:rFonts w:hint="eastAsia" w:ascii="宋体" w:hAnsi="宋体"/>
          <w:sz w:val="24"/>
        </w:rPr>
        <w:t>表</w:t>
      </w:r>
      <w:r>
        <w:rPr>
          <w:rFonts w:ascii="宋体" w:hAnsi="宋体"/>
          <w:sz w:val="24"/>
        </w:rPr>
        <w:t>1</w:t>
      </w:r>
      <w:r>
        <w:rPr>
          <w:rFonts w:hint="eastAsia" w:ascii="宋体" w:hAnsi="宋体"/>
          <w:sz w:val="24"/>
        </w:rPr>
        <w:t>. 供求总体情况</w:t>
      </w:r>
    </w:p>
    <w:tbl>
      <w:tblPr>
        <w:tblStyle w:val="8"/>
        <w:tblW w:w="6039" w:type="dxa"/>
        <w:jc w:val="center"/>
        <w:tblLayout w:type="fixed"/>
        <w:tblCellMar>
          <w:top w:w="0" w:type="dxa"/>
          <w:left w:w="0" w:type="dxa"/>
          <w:bottom w:w="0" w:type="dxa"/>
          <w:right w:w="0" w:type="dxa"/>
        </w:tblCellMar>
      </w:tblPr>
      <w:tblGrid>
        <w:gridCol w:w="1347"/>
        <w:gridCol w:w="1607"/>
        <w:gridCol w:w="1585"/>
        <w:gridCol w:w="1500"/>
      </w:tblGrid>
      <w:tr>
        <w:tblPrEx>
          <w:tblCellMar>
            <w:top w:w="0" w:type="dxa"/>
            <w:left w:w="0" w:type="dxa"/>
            <w:bottom w:w="0" w:type="dxa"/>
            <w:right w:w="0" w:type="dxa"/>
          </w:tblCellMar>
        </w:tblPrEx>
        <w:trPr>
          <w:trHeight w:val="820" w:hRule="atLeast"/>
          <w:jc w:val="center"/>
        </w:trPr>
        <w:tc>
          <w:tcPr>
            <w:tcW w:w="1347" w:type="dxa"/>
            <w:tcBorders>
              <w:top w:val="single" w:color="auto" w:sz="8" w:space="0"/>
              <w:left w:val="single" w:color="auto" w:sz="8" w:space="0"/>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ind w:firstLine="420"/>
              <w:jc w:val="center"/>
              <w:rPr>
                <w:rFonts w:ascii="宋体" w:hAnsi="宋体" w:cs="宋体"/>
                <w:kern w:val="0"/>
                <w:sz w:val="24"/>
              </w:rPr>
            </w:pPr>
            <w:r>
              <w:rPr>
                <w:rFonts w:ascii="宋体" w:hAnsi="宋体" w:cs="宋体"/>
                <w:kern w:val="0"/>
                <w:sz w:val="24"/>
              </w:rPr>
              <w:t> </w:t>
            </w:r>
          </w:p>
        </w:tc>
        <w:tc>
          <w:tcPr>
            <w:tcW w:w="1607" w:type="dxa"/>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val="en-US" w:eastAsia="zh-CN"/>
              </w:rPr>
              <w:t>第三季度</w:t>
            </w:r>
            <w:r>
              <w:rPr>
                <w:rFonts w:hint="eastAsia" w:ascii="宋体" w:hAnsi="宋体" w:cs="宋体"/>
                <w:kern w:val="0"/>
                <w:sz w:val="24"/>
              </w:rPr>
              <w:t>需求人数（人）</w:t>
            </w:r>
          </w:p>
        </w:tc>
        <w:tc>
          <w:tcPr>
            <w:tcW w:w="1585" w:type="dxa"/>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val="en-US" w:eastAsia="zh-CN"/>
              </w:rPr>
              <w:t>第三季度</w:t>
            </w:r>
            <w:r>
              <w:rPr>
                <w:rFonts w:hint="eastAsia" w:ascii="宋体" w:hAnsi="宋体" w:cs="宋体"/>
                <w:kern w:val="0"/>
                <w:sz w:val="24"/>
              </w:rPr>
              <w:t>求职人数（人）</w:t>
            </w:r>
          </w:p>
        </w:tc>
        <w:tc>
          <w:tcPr>
            <w:tcW w:w="1500" w:type="dxa"/>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val="en-US" w:eastAsia="zh-CN"/>
              </w:rPr>
              <w:t>第三季度</w:t>
            </w:r>
            <w:r>
              <w:rPr>
                <w:rFonts w:hint="eastAsia" w:ascii="宋体" w:hAnsi="宋体" w:cs="宋体"/>
                <w:kern w:val="0"/>
                <w:sz w:val="24"/>
              </w:rPr>
              <w:t>求人倍率</w:t>
            </w:r>
          </w:p>
        </w:tc>
      </w:tr>
      <w:tr>
        <w:tblPrEx>
          <w:tblCellMar>
            <w:top w:w="0" w:type="dxa"/>
            <w:left w:w="0" w:type="dxa"/>
            <w:bottom w:w="0" w:type="dxa"/>
            <w:right w:w="0" w:type="dxa"/>
          </w:tblCellMar>
        </w:tblPrEx>
        <w:trPr>
          <w:trHeight w:val="804" w:hRule="atLeast"/>
          <w:jc w:val="center"/>
        </w:trPr>
        <w:tc>
          <w:tcPr>
            <w:tcW w:w="1347" w:type="dxa"/>
            <w:tcBorders>
              <w:top w:val="single" w:color="auto" w:sz="8" w:space="0"/>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本期</w:t>
            </w:r>
          </w:p>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有效数</w:t>
            </w:r>
          </w:p>
        </w:tc>
        <w:tc>
          <w:tcPr>
            <w:tcW w:w="160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0"/>
                <w:szCs w:val="20"/>
                <w:u w:val="none"/>
                <w:lang w:val="en-US" w:eastAsia="zh-CN" w:bidi="ar"/>
              </w:rPr>
              <w:t>49139</w:t>
            </w:r>
          </w:p>
        </w:tc>
        <w:tc>
          <w:tcPr>
            <w:tcW w:w="158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0"/>
                <w:szCs w:val="20"/>
                <w:u w:val="none"/>
                <w:lang w:val="en-US" w:eastAsia="zh-CN" w:bidi="ar"/>
              </w:rPr>
              <w:t>41082</w:t>
            </w:r>
          </w:p>
        </w:tc>
        <w:tc>
          <w:tcPr>
            <w:tcW w:w="15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1.20 </w:t>
            </w:r>
          </w:p>
        </w:tc>
      </w:tr>
    </w:tbl>
    <w:p>
      <w:pPr>
        <w:adjustRightInd w:val="0"/>
        <w:snapToGrid w:val="0"/>
        <w:spacing w:line="360" w:lineRule="auto"/>
        <w:rPr>
          <w:rFonts w:hint="eastAsia" w:ascii="宋体" w:hAnsi="宋体"/>
          <w:b/>
          <w:sz w:val="24"/>
        </w:rPr>
      </w:pP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宋体" w:hAnsi="宋体"/>
          <w:b/>
          <w:sz w:val="24"/>
        </w:rPr>
      </w:pPr>
      <w:r>
        <w:rPr>
          <w:rFonts w:hint="eastAsia" w:ascii="宋体" w:hAnsi="宋体"/>
          <w:b/>
          <w:sz w:val="24"/>
        </w:rPr>
        <w:t>（二）</w:t>
      </w:r>
      <w:r>
        <w:rPr>
          <w:rFonts w:ascii="宋体" w:hAnsi="宋体"/>
          <w:b/>
          <w:sz w:val="24"/>
        </w:rPr>
        <w:t>分</w:t>
      </w:r>
      <w:r>
        <w:rPr>
          <w:rFonts w:hint="eastAsia" w:ascii="宋体" w:hAnsi="宋体"/>
          <w:b/>
          <w:sz w:val="24"/>
        </w:rPr>
        <w:t>产业、</w:t>
      </w:r>
      <w:r>
        <w:rPr>
          <w:rFonts w:ascii="宋体" w:hAnsi="宋体"/>
          <w:b/>
          <w:sz w:val="24"/>
        </w:rPr>
        <w:t>行业劳动力需求</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cs="宋体"/>
          <w:color w:val="FF0000"/>
          <w:kern w:val="0"/>
          <w:sz w:val="24"/>
        </w:rPr>
      </w:pPr>
      <w:r>
        <w:rPr>
          <w:rFonts w:hint="eastAsia" w:ascii="宋体" w:hAnsi="宋体" w:cs="宋体"/>
          <w:kern w:val="0"/>
          <w:sz w:val="24"/>
        </w:rPr>
        <w:t>从产业分组情况看，第一产业</w:t>
      </w:r>
      <w:r>
        <w:rPr>
          <w:rFonts w:hint="eastAsia" w:ascii="宋体" w:hAnsi="宋体" w:cs="宋体"/>
          <w:kern w:val="0"/>
          <w:sz w:val="24"/>
          <w:lang w:val="en-US" w:eastAsia="zh-CN"/>
        </w:rPr>
        <w:t>今年第三季度</w:t>
      </w:r>
      <w:r>
        <w:rPr>
          <w:rFonts w:hint="eastAsia" w:ascii="宋体" w:hAnsi="宋体" w:cs="宋体"/>
          <w:kern w:val="0"/>
          <w:sz w:val="24"/>
        </w:rPr>
        <w:t>为</w:t>
      </w:r>
      <w:r>
        <w:rPr>
          <w:rFonts w:ascii="宋体" w:hAnsi="宋体" w:cs="宋体"/>
          <w:kern w:val="0"/>
          <w:sz w:val="24"/>
        </w:rPr>
        <w:t>0</w:t>
      </w:r>
      <w:r>
        <w:rPr>
          <w:rFonts w:hint="eastAsia" w:ascii="宋体" w:hAnsi="宋体" w:cs="宋体"/>
          <w:kern w:val="0"/>
          <w:sz w:val="24"/>
        </w:rPr>
        <w:t>；第二产业</w:t>
      </w:r>
      <w:r>
        <w:rPr>
          <w:rFonts w:hint="eastAsia" w:ascii="宋体" w:hAnsi="宋体" w:cs="宋体"/>
          <w:kern w:val="0"/>
          <w:sz w:val="24"/>
          <w:lang w:val="en-US" w:eastAsia="zh-CN"/>
        </w:rPr>
        <w:t>本季度</w:t>
      </w:r>
      <w:r>
        <w:rPr>
          <w:rFonts w:hint="eastAsia" w:ascii="宋体" w:hAnsi="宋体" w:cs="宋体"/>
          <w:kern w:val="0"/>
          <w:sz w:val="24"/>
        </w:rPr>
        <w:t>需求数为</w:t>
      </w:r>
      <w:r>
        <w:rPr>
          <w:rFonts w:hint="eastAsia" w:ascii="宋体" w:hAnsi="宋体" w:cs="宋体"/>
          <w:kern w:val="0"/>
          <w:sz w:val="24"/>
          <w:lang w:val="en-US" w:eastAsia="zh-CN"/>
        </w:rPr>
        <w:t>32233</w:t>
      </w:r>
      <w:r>
        <w:rPr>
          <w:rFonts w:hint="eastAsia" w:ascii="宋体" w:hAnsi="宋体" w:cs="宋体"/>
          <w:kern w:val="0"/>
          <w:sz w:val="24"/>
        </w:rPr>
        <w:t>人，占总需求的</w:t>
      </w:r>
      <w:r>
        <w:rPr>
          <w:rFonts w:hint="eastAsia" w:ascii="宋体" w:hAnsi="宋体" w:cs="宋体"/>
          <w:kern w:val="0"/>
          <w:sz w:val="24"/>
          <w:lang w:val="en-US" w:eastAsia="zh-CN"/>
        </w:rPr>
        <w:t>65.60</w:t>
      </w:r>
      <w:r>
        <w:rPr>
          <w:rFonts w:hint="eastAsia" w:ascii="宋体" w:hAnsi="宋体" w:cs="宋体"/>
          <w:kern w:val="0"/>
          <w:sz w:val="24"/>
        </w:rPr>
        <w:t>%，第三产业</w:t>
      </w:r>
      <w:r>
        <w:rPr>
          <w:rFonts w:hint="eastAsia" w:ascii="宋体" w:hAnsi="宋体" w:cs="宋体"/>
          <w:kern w:val="0"/>
          <w:sz w:val="24"/>
          <w:lang w:val="en-US" w:eastAsia="zh-CN"/>
        </w:rPr>
        <w:t>第三季度</w:t>
      </w:r>
      <w:r>
        <w:rPr>
          <w:rFonts w:hint="eastAsia" w:ascii="宋体" w:hAnsi="宋体" w:cs="宋体"/>
          <w:kern w:val="0"/>
          <w:sz w:val="24"/>
        </w:rPr>
        <w:t>需求数为</w:t>
      </w:r>
      <w:r>
        <w:rPr>
          <w:rFonts w:hint="eastAsia" w:ascii="宋体" w:hAnsi="宋体" w:cs="宋体"/>
          <w:kern w:val="0"/>
          <w:sz w:val="24"/>
          <w:lang w:val="en-US" w:eastAsia="zh-CN"/>
        </w:rPr>
        <w:t>16906</w:t>
      </w:r>
      <w:r>
        <w:rPr>
          <w:rFonts w:hint="eastAsia" w:ascii="宋体" w:hAnsi="宋体" w:cs="宋体"/>
          <w:kern w:val="0"/>
          <w:sz w:val="24"/>
        </w:rPr>
        <w:t>人，占总需求的</w:t>
      </w:r>
      <w:r>
        <w:rPr>
          <w:rFonts w:hint="eastAsia" w:ascii="宋体" w:hAnsi="宋体" w:cs="宋体"/>
          <w:kern w:val="0"/>
          <w:sz w:val="24"/>
          <w:lang w:val="en-US" w:eastAsia="zh-CN"/>
        </w:rPr>
        <w:t>34.40</w:t>
      </w:r>
      <w:r>
        <w:rPr>
          <w:rFonts w:hint="eastAsia" w:ascii="宋体" w:hAnsi="宋体" w:cs="宋体"/>
          <w:kern w:val="0"/>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kern w:val="0"/>
          <w:sz w:val="24"/>
        </w:rPr>
      </w:pPr>
      <w:r>
        <w:rPr>
          <w:rFonts w:hint="eastAsia" w:ascii="宋体" w:hAnsi="宋体" w:cs="宋体"/>
          <w:kern w:val="0"/>
          <w:sz w:val="24"/>
        </w:rPr>
        <w:t>第一产业始终为0，第二产业居人力资源市场需求的主导地位，我市用工需求主要集中在生产性企业中。</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kern w:val="0"/>
          <w:sz w:val="24"/>
        </w:rPr>
      </w:pPr>
    </w:p>
    <w:p>
      <w:pPr>
        <w:adjustRightInd w:val="0"/>
        <w:snapToGrid w:val="0"/>
        <w:spacing w:line="360" w:lineRule="auto"/>
        <w:jc w:val="center"/>
        <w:rPr>
          <w:rFonts w:ascii="宋体" w:hAnsi="宋体"/>
          <w:sz w:val="24"/>
        </w:rPr>
      </w:pPr>
      <w:r>
        <w:rPr>
          <w:rFonts w:hint="eastAsia" w:ascii="宋体" w:hAnsi="宋体"/>
          <w:sz w:val="24"/>
        </w:rPr>
        <w:t>表2. 按产业分组的需求人数</w:t>
      </w:r>
    </w:p>
    <w:tbl>
      <w:tblPr>
        <w:tblStyle w:val="8"/>
        <w:tblW w:w="4330"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398"/>
        <w:gridCol w:w="1466"/>
        <w:gridCol w:w="146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000000"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产业</w:t>
            </w:r>
          </w:p>
        </w:tc>
        <w:tc>
          <w:tcPr>
            <w:tcW w:w="1466" w:type="dxa"/>
            <w:tcBorders>
              <w:top w:val="single" w:color="000000" w:sz="8" w:space="0"/>
              <w:left w:val="nil"/>
              <w:bottom w:val="single" w:color="000000"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val="en-US" w:eastAsia="zh-CN"/>
              </w:rPr>
              <w:t>第三季度</w:t>
            </w:r>
            <w:r>
              <w:rPr>
                <w:rFonts w:hint="eastAsia" w:ascii="宋体" w:hAnsi="宋体" w:cs="宋体"/>
                <w:kern w:val="0"/>
                <w:sz w:val="24"/>
              </w:rPr>
              <w:t>需求人数 (人)</w:t>
            </w:r>
          </w:p>
        </w:tc>
        <w:tc>
          <w:tcPr>
            <w:tcW w:w="1466" w:type="dxa"/>
            <w:tcBorders>
              <w:top w:val="single" w:color="000000" w:sz="8" w:space="0"/>
              <w:left w:val="nil"/>
              <w:bottom w:val="single" w:color="000000" w:sz="8" w:space="0"/>
              <w:right w:val="single" w:color="000000"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需求所占比重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pPr>
              <w:jc w:val="center"/>
              <w:rPr>
                <w:rFonts w:hint="eastAsia"/>
                <w:sz w:val="24"/>
                <w:lang w:val="en-US" w:eastAsia="zh-CN"/>
              </w:rPr>
            </w:pPr>
            <w:r>
              <w:rPr>
                <w:rFonts w:hint="eastAsia"/>
                <w:sz w:val="24"/>
                <w:lang w:val="en-US" w:eastAsia="zh-CN"/>
              </w:rPr>
              <w:t>第一产业</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0</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0.00%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pPr>
              <w:jc w:val="center"/>
              <w:rPr>
                <w:rFonts w:hint="eastAsia"/>
                <w:sz w:val="24"/>
                <w:lang w:val="en-US" w:eastAsia="zh-CN"/>
              </w:rPr>
            </w:pPr>
            <w:r>
              <w:rPr>
                <w:rFonts w:hint="eastAsia"/>
                <w:sz w:val="24"/>
                <w:lang w:val="en-US" w:eastAsia="zh-CN"/>
              </w:rPr>
              <w:t>第二产业</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4"/>
                <w:szCs w:val="24"/>
                <w:u w:val="none"/>
                <w:lang w:val="en-US" w:eastAsia="zh-CN" w:bidi="ar"/>
              </w:rPr>
              <w:t>32233</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65.60%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pPr>
              <w:jc w:val="center"/>
              <w:rPr>
                <w:rFonts w:hint="eastAsia"/>
                <w:sz w:val="24"/>
                <w:lang w:val="en-US" w:eastAsia="zh-CN"/>
              </w:rPr>
            </w:pPr>
            <w:r>
              <w:rPr>
                <w:rFonts w:hint="eastAsia"/>
                <w:sz w:val="24"/>
                <w:lang w:val="en-US" w:eastAsia="zh-CN"/>
              </w:rPr>
              <w:t>第三产业</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4"/>
                <w:szCs w:val="24"/>
                <w:u w:val="none"/>
                <w:lang w:val="en-US" w:eastAsia="zh-CN" w:bidi="ar"/>
              </w:rPr>
              <w:t>16906</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34.40%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pPr>
              <w:jc w:val="center"/>
              <w:rPr>
                <w:rFonts w:hint="eastAsia"/>
                <w:sz w:val="24"/>
                <w:lang w:val="en-US" w:eastAsia="zh-CN"/>
              </w:rPr>
            </w:pPr>
            <w:r>
              <w:rPr>
                <w:rFonts w:hint="eastAsia"/>
                <w:sz w:val="24"/>
                <w:lang w:val="en-US" w:eastAsia="zh-CN"/>
              </w:rPr>
              <w:t>合计</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4"/>
                <w:szCs w:val="24"/>
                <w:u w:val="none"/>
                <w:lang w:val="en-US" w:eastAsia="zh-CN" w:bidi="ar"/>
              </w:rPr>
              <w:t>49139</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100.00%</w:t>
            </w:r>
          </w:p>
        </w:tc>
      </w:tr>
    </w:tbl>
    <w:p>
      <w:pPr>
        <w:adjustRightInd w:val="0"/>
        <w:snapToGrid w:val="0"/>
        <w:spacing w:line="360" w:lineRule="auto"/>
        <w:rPr>
          <w:rFonts w:ascii="宋体" w:hAnsi="宋体"/>
          <w:color w:val="FF0000"/>
          <w:sz w:val="24"/>
        </w:rPr>
      </w:pPr>
      <w:r>
        <w:rPr>
          <w:rFonts w:hint="eastAsia" w:ascii="宋体" w:hAnsi="宋体"/>
          <w:color w:val="FF0000"/>
          <w:sz w:val="24"/>
        </w:rPr>
        <w:t xml:space="preserve">                </w:t>
      </w:r>
    </w:p>
    <w:p>
      <w:pPr>
        <w:adjustRightInd w:val="0"/>
        <w:snapToGrid w:val="0"/>
        <w:spacing w:line="360" w:lineRule="auto"/>
        <w:ind w:firstLine="480" w:firstLineChars="200"/>
        <w:rPr>
          <w:rFonts w:ascii="宋体" w:hAnsi="宋体"/>
          <w:sz w:val="24"/>
        </w:rPr>
      </w:pPr>
      <w:r>
        <w:rPr>
          <w:rFonts w:hint="eastAsia" w:ascii="宋体" w:hAnsi="宋体"/>
          <w:sz w:val="24"/>
        </w:rPr>
        <w:t>从行业需求来看，</w:t>
      </w:r>
      <w:r>
        <w:rPr>
          <w:rFonts w:hint="eastAsia" w:ascii="宋体" w:hAnsi="宋体"/>
          <w:sz w:val="24"/>
          <w:lang w:eastAsia="zh-CN"/>
        </w:rPr>
        <w:t>第三季度</w:t>
      </w:r>
      <w:r>
        <w:rPr>
          <w:rFonts w:hint="eastAsia" w:ascii="宋体" w:hAnsi="宋体"/>
          <w:sz w:val="24"/>
          <w:lang w:val="en-US" w:eastAsia="zh-CN"/>
        </w:rPr>
        <w:t>63.46</w:t>
      </w:r>
      <w:r>
        <w:rPr>
          <w:rFonts w:hint="eastAsia" w:ascii="宋体" w:hAnsi="宋体"/>
          <w:sz w:val="24"/>
        </w:rPr>
        <w:t>%的用人需求集中在制造业，其次为</w:t>
      </w:r>
      <w:r>
        <w:rPr>
          <w:rFonts w:hint="eastAsia" w:ascii="宋体" w:hAnsi="宋体" w:cs="宋体"/>
          <w:kern w:val="0"/>
          <w:sz w:val="24"/>
          <w:lang w:val="en-US" w:eastAsia="zh-CN"/>
        </w:rPr>
        <w:t>批发和零售</w:t>
      </w:r>
      <w:r>
        <w:rPr>
          <w:rFonts w:hint="eastAsia" w:ascii="宋体" w:hAnsi="宋体" w:cs="宋体"/>
          <w:kern w:val="0"/>
          <w:sz w:val="24"/>
        </w:rPr>
        <w:t>业</w:t>
      </w:r>
      <w:r>
        <w:rPr>
          <w:rFonts w:hint="eastAsia" w:ascii="宋体" w:hAnsi="宋体"/>
          <w:sz w:val="24"/>
        </w:rPr>
        <w:t>，占总需求的</w:t>
      </w:r>
      <w:r>
        <w:rPr>
          <w:rFonts w:hint="eastAsia" w:ascii="宋体" w:hAnsi="宋体"/>
          <w:sz w:val="24"/>
          <w:lang w:val="en-US" w:eastAsia="zh-CN"/>
        </w:rPr>
        <w:t>9.10</w:t>
      </w:r>
      <w:r>
        <w:rPr>
          <w:rFonts w:hint="eastAsia" w:ascii="宋体" w:hAnsi="宋体"/>
          <w:sz w:val="24"/>
        </w:rPr>
        <w:t>%，再次为</w:t>
      </w:r>
      <w:r>
        <w:rPr>
          <w:rFonts w:hint="eastAsia" w:ascii="宋体" w:hAnsi="宋体" w:cs="宋体"/>
          <w:kern w:val="0"/>
          <w:sz w:val="24"/>
          <w:lang w:val="en-US" w:eastAsia="zh-CN"/>
        </w:rPr>
        <w:t>信息传输、计算机服务和软件业</w:t>
      </w:r>
      <w:r>
        <w:rPr>
          <w:rFonts w:hint="eastAsia" w:ascii="宋体" w:hAnsi="宋体"/>
          <w:sz w:val="24"/>
        </w:rPr>
        <w:t>，占总需求的</w:t>
      </w:r>
      <w:r>
        <w:rPr>
          <w:rFonts w:hint="eastAsia" w:ascii="宋体" w:hAnsi="宋体"/>
          <w:sz w:val="24"/>
          <w:lang w:val="en-US" w:eastAsia="zh-CN"/>
        </w:rPr>
        <w:t>6</w:t>
      </w:r>
      <w:r>
        <w:rPr>
          <w:rFonts w:hint="eastAsia" w:ascii="宋体" w:hAnsi="宋体"/>
          <w:sz w:val="24"/>
        </w:rPr>
        <w:t>.5</w:t>
      </w:r>
      <w:r>
        <w:rPr>
          <w:rFonts w:hint="eastAsia" w:ascii="宋体" w:hAnsi="宋体"/>
          <w:sz w:val="24"/>
          <w:lang w:val="en-US" w:eastAsia="zh-CN"/>
        </w:rPr>
        <w:t>1</w:t>
      </w:r>
      <w:r>
        <w:rPr>
          <w:rFonts w:hint="eastAsia" w:ascii="宋体" w:hAnsi="宋体"/>
          <w:sz w:val="24"/>
        </w:rPr>
        <w:t>%。</w:t>
      </w:r>
    </w:p>
    <w:p>
      <w:pPr>
        <w:adjustRightInd w:val="0"/>
        <w:snapToGrid w:val="0"/>
        <w:spacing w:line="360" w:lineRule="auto"/>
        <w:jc w:val="center"/>
        <w:rPr>
          <w:rFonts w:ascii="宋体" w:hAnsi="宋体"/>
          <w:sz w:val="24"/>
        </w:rPr>
      </w:pPr>
      <w:r>
        <w:rPr>
          <w:rFonts w:hint="eastAsia" w:ascii="宋体" w:hAnsi="宋体"/>
          <w:sz w:val="24"/>
        </w:rPr>
        <w:t>表3</w:t>
      </w:r>
      <w:r>
        <w:rPr>
          <w:rFonts w:ascii="宋体" w:hAnsi="宋体"/>
          <w:sz w:val="24"/>
        </w:rPr>
        <w:t>. 按行业分组的需求人数</w:t>
      </w:r>
    </w:p>
    <w:tbl>
      <w:tblPr>
        <w:tblStyle w:val="8"/>
        <w:tblW w:w="6066" w:type="dxa"/>
        <w:jc w:val="center"/>
        <w:tblCellSpacing w:w="0"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0" w:type="dxa"/>
          <w:bottom w:w="0" w:type="dxa"/>
          <w:right w:w="0" w:type="dxa"/>
        </w:tblCellMar>
      </w:tblPr>
      <w:tblGrid>
        <w:gridCol w:w="3472"/>
        <w:gridCol w:w="1268"/>
        <w:gridCol w:w="1326"/>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行业</w:t>
            </w:r>
          </w:p>
        </w:tc>
        <w:tc>
          <w:tcPr>
            <w:tcW w:w="1268" w:type="dxa"/>
            <w:tcBorders>
              <w:top w:val="single" w:color="000000" w:sz="8" w:space="0"/>
              <w:left w:val="single" w:color="auto"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需求人数 (人)</w:t>
            </w:r>
          </w:p>
        </w:tc>
        <w:tc>
          <w:tcPr>
            <w:tcW w:w="1326" w:type="dxa"/>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需求所占比重 (%)</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农、林、牧、渔业</w:t>
            </w:r>
          </w:p>
        </w:tc>
        <w:tc>
          <w:tcPr>
            <w:tcW w:w="1268" w:type="dxa"/>
            <w:tcBorders>
              <w:top w:val="single" w:color="000000"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0 </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采矿业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0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制造业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31184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63.46%</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电力、燃气及水的生产和供应业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503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1.02%</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建筑业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1049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2.13%</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交通运输、仓储和邮政业</w:t>
            </w:r>
          </w:p>
        </w:tc>
        <w:tc>
          <w:tcPr>
            <w:tcW w:w="1268" w:type="dxa"/>
            <w:tcBorders>
              <w:top w:val="single" w:color="auto" w:sz="8" w:space="0"/>
              <w:left w:val="single" w:color="auto"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1050 </w:t>
            </w:r>
          </w:p>
        </w:tc>
        <w:tc>
          <w:tcPr>
            <w:tcW w:w="1326"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2.14%</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信息传输、计算机服务和软件业</w:t>
            </w:r>
          </w:p>
        </w:tc>
        <w:tc>
          <w:tcPr>
            <w:tcW w:w="1268" w:type="dxa"/>
            <w:tcBorders>
              <w:top w:val="single" w:color="000000"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4401 </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8.96%</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批发和零售业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4473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9.10%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住宿和餐饮业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2188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4.45%</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金融业</w:t>
            </w:r>
          </w:p>
        </w:tc>
        <w:tc>
          <w:tcPr>
            <w:tcW w:w="126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240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0.49%</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房地产业</w:t>
            </w:r>
          </w:p>
        </w:tc>
        <w:tc>
          <w:tcPr>
            <w:tcW w:w="126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190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0.39%</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租赁和商务服务业</w:t>
            </w:r>
          </w:p>
        </w:tc>
        <w:tc>
          <w:tcPr>
            <w:tcW w:w="126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214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0.44%</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科学研究、技术服务和地质勘查业</w:t>
            </w:r>
          </w:p>
        </w:tc>
        <w:tc>
          <w:tcPr>
            <w:tcW w:w="1268"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138 </w:t>
            </w:r>
          </w:p>
        </w:tc>
        <w:tc>
          <w:tcPr>
            <w:tcW w:w="1326"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0.28%</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水利、环境和公共设施管理业</w:t>
            </w:r>
          </w:p>
        </w:tc>
        <w:tc>
          <w:tcPr>
            <w:tcW w:w="126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190 </w:t>
            </w:r>
          </w:p>
        </w:tc>
        <w:tc>
          <w:tcPr>
            <w:tcW w:w="1326"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0.39%</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居民服务和其他服务业</w:t>
            </w:r>
          </w:p>
        </w:tc>
        <w:tc>
          <w:tcPr>
            <w:tcW w:w="126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2657 </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5.41%</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教育</w:t>
            </w:r>
          </w:p>
        </w:tc>
        <w:tc>
          <w:tcPr>
            <w:tcW w:w="126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146 </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0.30%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卫生、社会保障和社会福利业</w:t>
            </w:r>
          </w:p>
        </w:tc>
        <w:tc>
          <w:tcPr>
            <w:tcW w:w="1268"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167 </w:t>
            </w:r>
          </w:p>
        </w:tc>
        <w:tc>
          <w:tcPr>
            <w:tcW w:w="1326"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0.34%</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文化、体育和娱乐业</w:t>
            </w:r>
          </w:p>
        </w:tc>
        <w:tc>
          <w:tcPr>
            <w:tcW w:w="126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170 </w:t>
            </w:r>
          </w:p>
        </w:tc>
        <w:tc>
          <w:tcPr>
            <w:tcW w:w="1326"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0.35%</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公共管理与社会组织</w:t>
            </w:r>
          </w:p>
        </w:tc>
        <w:tc>
          <w:tcPr>
            <w:tcW w:w="126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179 </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0.36%</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国际组织</w:t>
            </w:r>
          </w:p>
        </w:tc>
        <w:tc>
          <w:tcPr>
            <w:tcW w:w="1268"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0 </w:t>
            </w:r>
          </w:p>
        </w:tc>
        <w:tc>
          <w:tcPr>
            <w:tcW w:w="1326"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126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49139 </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r>
    </w:tbl>
    <w:p>
      <w:pPr>
        <w:adjustRightInd w:val="0"/>
        <w:snapToGrid w:val="0"/>
        <w:spacing w:line="360" w:lineRule="auto"/>
        <w:rPr>
          <w:rFonts w:ascii="宋体" w:hAnsi="宋体"/>
          <w:color w:val="FF0000"/>
          <w:sz w:val="24"/>
        </w:rPr>
      </w:pPr>
    </w:p>
    <w:p>
      <w:pPr>
        <w:adjustRightInd w:val="0"/>
        <w:snapToGrid w:val="0"/>
        <w:spacing w:line="360" w:lineRule="auto"/>
        <w:ind w:firstLine="482" w:firstLineChars="200"/>
        <w:rPr>
          <w:rFonts w:ascii="宋体" w:hAnsi="宋体"/>
          <w:b/>
          <w:sz w:val="24"/>
        </w:rPr>
      </w:pPr>
      <w:r>
        <w:rPr>
          <w:rFonts w:hint="eastAsia" w:ascii="宋体" w:hAnsi="宋体"/>
          <w:b/>
          <w:sz w:val="24"/>
        </w:rPr>
        <w:t>（三）</w:t>
      </w:r>
      <w:r>
        <w:rPr>
          <w:rFonts w:ascii="宋体" w:hAnsi="宋体"/>
          <w:b/>
          <w:sz w:val="24"/>
        </w:rPr>
        <w:t>用人单位需求情况</w:t>
      </w:r>
    </w:p>
    <w:p>
      <w:pPr>
        <w:adjustRightInd w:val="0"/>
        <w:snapToGrid w:val="0"/>
        <w:spacing w:line="360" w:lineRule="auto"/>
        <w:ind w:firstLine="480" w:firstLineChars="200"/>
        <w:rPr>
          <w:rFonts w:ascii="宋体" w:hAnsi="宋体"/>
          <w:color w:val="FF0000"/>
          <w:sz w:val="24"/>
        </w:rPr>
      </w:pPr>
      <w:r>
        <w:rPr>
          <w:rFonts w:hint="eastAsia" w:ascii="宋体" w:hAnsi="Verdana" w:cs="宋体"/>
          <w:kern w:val="0"/>
          <w:sz w:val="24"/>
        </w:rPr>
        <w:t>按不同的经济类型单位需求情况看，</w:t>
      </w:r>
      <w:r>
        <w:rPr>
          <w:rFonts w:hint="eastAsia" w:ascii="宋体" w:hAnsi="Verdana" w:cs="宋体"/>
          <w:kern w:val="0"/>
          <w:sz w:val="24"/>
          <w:lang w:eastAsia="zh-CN"/>
        </w:rPr>
        <w:t>第三季度</w:t>
      </w:r>
      <w:r>
        <w:rPr>
          <w:rFonts w:hint="eastAsia" w:ascii="宋体" w:hAnsi="Verdana" w:cs="宋体"/>
          <w:kern w:val="0"/>
          <w:sz w:val="24"/>
        </w:rPr>
        <w:t>企业需求人数为</w:t>
      </w:r>
      <w:r>
        <w:rPr>
          <w:rFonts w:hint="eastAsia" w:ascii="宋体" w:hAnsi="Verdana" w:cs="宋体"/>
          <w:kern w:val="0"/>
          <w:sz w:val="24"/>
          <w:lang w:val="en-US" w:eastAsia="zh-CN"/>
        </w:rPr>
        <w:t>48944</w:t>
      </w:r>
      <w:r>
        <w:rPr>
          <w:rFonts w:hint="eastAsia" w:ascii="宋体" w:hAnsi="Verdana" w:cs="宋体"/>
          <w:kern w:val="0"/>
          <w:sz w:val="24"/>
        </w:rPr>
        <w:t>人。企业中需求人数所占比重最多的是内资企业，共</w:t>
      </w:r>
      <w:r>
        <w:rPr>
          <w:rFonts w:hint="eastAsia" w:ascii="宋体" w:hAnsi="Verdana" w:cs="宋体"/>
          <w:kern w:val="0"/>
          <w:sz w:val="24"/>
          <w:lang w:val="en-US" w:eastAsia="zh-CN"/>
        </w:rPr>
        <w:t>43642</w:t>
      </w:r>
      <w:r>
        <w:rPr>
          <w:rFonts w:hint="eastAsia" w:ascii="宋体" w:hAnsi="Verdana" w:cs="宋体"/>
          <w:kern w:val="0"/>
          <w:sz w:val="24"/>
        </w:rPr>
        <w:t>人，占企业总数的</w:t>
      </w:r>
      <w:r>
        <w:rPr>
          <w:rFonts w:hint="eastAsia" w:ascii="宋体" w:hAnsi="Verdana" w:cs="宋体"/>
          <w:kern w:val="0"/>
          <w:sz w:val="24"/>
          <w:lang w:val="en-US" w:eastAsia="zh-CN"/>
        </w:rPr>
        <w:t>88.81</w:t>
      </w:r>
      <w:r>
        <w:rPr>
          <w:rFonts w:hint="eastAsia" w:ascii="宋体" w:hAnsi="Verdana" w:cs="宋体"/>
          <w:kern w:val="0"/>
          <w:sz w:val="24"/>
        </w:rPr>
        <w:t>%，内资企业中用工需求主要集中在有限责任公司、股份有限公司</w:t>
      </w:r>
      <w:r>
        <w:rPr>
          <w:rFonts w:hint="eastAsia" w:ascii="宋体" w:hAnsi="Verdana" w:cs="宋体"/>
          <w:kern w:val="0"/>
          <w:sz w:val="24"/>
          <w:lang w:eastAsia="zh-CN"/>
        </w:rPr>
        <w:t>、</w:t>
      </w:r>
      <w:r>
        <w:rPr>
          <w:rFonts w:hint="eastAsia" w:ascii="宋体" w:hAnsi="Verdana" w:cs="宋体"/>
          <w:kern w:val="0"/>
          <w:sz w:val="24"/>
          <w:lang w:val="en-US" w:eastAsia="zh-CN"/>
        </w:rPr>
        <w:t>其他</w:t>
      </w:r>
      <w:r>
        <w:rPr>
          <w:rFonts w:hint="eastAsia" w:ascii="宋体" w:hAnsi="Verdana" w:cs="宋体"/>
          <w:kern w:val="0"/>
          <w:sz w:val="24"/>
        </w:rPr>
        <w:t>企业。</w:t>
      </w:r>
    </w:p>
    <w:p>
      <w:pPr>
        <w:widowControl/>
        <w:adjustRightInd w:val="0"/>
        <w:snapToGrid w:val="0"/>
        <w:spacing w:beforeAutospacing="1" w:afterAutospacing="1" w:line="360" w:lineRule="auto"/>
        <w:jc w:val="center"/>
        <w:rPr>
          <w:rFonts w:ascii="宋体" w:hAnsi="宋体" w:cs="宋体"/>
          <w:kern w:val="0"/>
          <w:sz w:val="24"/>
        </w:rPr>
      </w:pPr>
      <w:r>
        <w:rPr>
          <w:rFonts w:hint="eastAsia" w:ascii="宋体" w:hAnsi="宋体" w:cs="宋体"/>
          <w:kern w:val="0"/>
          <w:sz w:val="24"/>
        </w:rPr>
        <w:t>表4. 按经济类型分组的需求人数</w:t>
      </w:r>
    </w:p>
    <w:tbl>
      <w:tblPr>
        <w:tblStyle w:val="8"/>
        <w:tblW w:w="6185" w:type="dxa"/>
        <w:jc w:val="center"/>
        <w:tblCellSpacing w:w="0" w:type="dxa"/>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Layout w:type="fixed"/>
        <w:tblCellMar>
          <w:top w:w="0" w:type="dxa"/>
          <w:left w:w="0" w:type="dxa"/>
          <w:bottom w:w="0" w:type="dxa"/>
          <w:right w:w="0" w:type="dxa"/>
        </w:tblCellMar>
      </w:tblPr>
      <w:tblGrid>
        <w:gridCol w:w="3122"/>
        <w:gridCol w:w="1448"/>
        <w:gridCol w:w="1615"/>
      </w:tblGrid>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经济类型</w:t>
            </w:r>
          </w:p>
        </w:tc>
        <w:tc>
          <w:tcPr>
            <w:tcW w:w="1448" w:type="dxa"/>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spacing w:line="360" w:lineRule="auto"/>
              <w:jc w:val="center"/>
              <w:rPr>
                <w:rFonts w:hint="eastAsia" w:eastAsia="宋体"/>
                <w:sz w:val="24"/>
                <w:lang w:eastAsia="zh-CN"/>
              </w:rPr>
            </w:pPr>
            <w:r>
              <w:rPr>
                <w:rFonts w:hint="eastAsia"/>
                <w:sz w:val="24"/>
                <w:lang w:eastAsia="zh-CN"/>
              </w:rPr>
              <w:t>第三季度</w:t>
            </w:r>
          </w:p>
          <w:p>
            <w:pPr>
              <w:spacing w:line="360" w:lineRule="auto"/>
              <w:jc w:val="center"/>
              <w:rPr>
                <w:rFonts w:ascii="宋体" w:hAnsi="宋体" w:cs="宋体"/>
                <w:sz w:val="24"/>
              </w:rPr>
            </w:pPr>
            <w:r>
              <w:rPr>
                <w:rFonts w:hint="eastAsia"/>
                <w:sz w:val="24"/>
              </w:rPr>
              <w:t>需求人数 (人)</w:t>
            </w:r>
          </w:p>
        </w:tc>
        <w:tc>
          <w:tcPr>
            <w:tcW w:w="1615" w:type="dxa"/>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pPr>
              <w:spacing w:line="360" w:lineRule="auto"/>
              <w:jc w:val="center"/>
              <w:rPr>
                <w:rFonts w:ascii="宋体" w:hAnsi="宋体" w:cs="宋体"/>
                <w:sz w:val="24"/>
              </w:rPr>
            </w:pPr>
            <w:r>
              <w:rPr>
                <w:rFonts w:hint="eastAsia"/>
                <w:sz w:val="24"/>
                <w:lang w:eastAsia="zh-CN"/>
              </w:rPr>
              <w:t>第三季度</w:t>
            </w:r>
            <w:r>
              <w:rPr>
                <w:rFonts w:hint="eastAsia"/>
                <w:sz w:val="24"/>
              </w:rPr>
              <w:t>需求所占比重 (%)</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 xml:space="preserve">48944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99.60%</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其中：内资企业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 xml:space="preserve">43642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88.81%</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国有企业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1077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2.19%</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auto"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集体企业</w:t>
            </w:r>
          </w:p>
        </w:tc>
        <w:tc>
          <w:tcPr>
            <w:tcW w:w="144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356 </w:t>
            </w:r>
          </w:p>
        </w:tc>
        <w:tc>
          <w:tcPr>
            <w:tcW w:w="1615"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0.72%</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股份合作企业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4503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9.16%</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auto"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联营企业</w:t>
            </w:r>
          </w:p>
        </w:tc>
        <w:tc>
          <w:tcPr>
            <w:tcW w:w="144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620 </w:t>
            </w:r>
          </w:p>
        </w:tc>
        <w:tc>
          <w:tcPr>
            <w:tcW w:w="1615"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1.26%</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auto"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有限责任公司</w:t>
            </w:r>
          </w:p>
        </w:tc>
        <w:tc>
          <w:tcPr>
            <w:tcW w:w="144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18914 </w:t>
            </w:r>
          </w:p>
        </w:tc>
        <w:tc>
          <w:tcPr>
            <w:tcW w:w="1615"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38.49%</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股份有限公司</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9030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18.38%</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私营企业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4106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8.36%</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其它企业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5036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10.25%</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港、澳、台投资企业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2207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4.49%</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外商投资企业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973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1.98%</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auto"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ind w:firstLine="1231" w:firstLineChars="513"/>
              <w:jc w:val="both"/>
              <w:rPr>
                <w:rFonts w:ascii="宋体" w:hAnsi="宋体" w:cs="宋体"/>
                <w:kern w:val="0"/>
                <w:sz w:val="24"/>
              </w:rPr>
            </w:pPr>
            <w:r>
              <w:rPr>
                <w:rFonts w:hint="eastAsia" w:ascii="宋体" w:hAnsi="宋体" w:cs="宋体"/>
                <w:kern w:val="0"/>
                <w:sz w:val="24"/>
              </w:rPr>
              <w:t>个体经营</w:t>
            </w:r>
          </w:p>
        </w:tc>
        <w:tc>
          <w:tcPr>
            <w:tcW w:w="144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2122 </w:t>
            </w:r>
          </w:p>
        </w:tc>
        <w:tc>
          <w:tcPr>
            <w:tcW w:w="1615"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4.32%</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事业</w:t>
            </w:r>
          </w:p>
        </w:tc>
        <w:tc>
          <w:tcPr>
            <w:tcW w:w="144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0 </w:t>
            </w:r>
          </w:p>
        </w:tc>
        <w:tc>
          <w:tcPr>
            <w:tcW w:w="1615"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0.00%</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auto"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机关</w:t>
            </w:r>
          </w:p>
        </w:tc>
        <w:tc>
          <w:tcPr>
            <w:tcW w:w="144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0 </w:t>
            </w:r>
          </w:p>
        </w:tc>
        <w:tc>
          <w:tcPr>
            <w:tcW w:w="1615"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0.00%</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其他</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195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0.40%</w:t>
            </w:r>
          </w:p>
        </w:tc>
      </w:tr>
      <w:tr>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FFFFFF" w:sz="8" w:space="0"/>
              <w:right w:val="single" w:color="000000"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1448" w:type="dxa"/>
            <w:tcBorders>
              <w:top w:val="single" w:color="000000" w:sz="8" w:space="0"/>
              <w:left w:val="single" w:color="000000" w:sz="8" w:space="0"/>
              <w:bottom w:val="single" w:color="FFFFFF"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49139</w:t>
            </w:r>
          </w:p>
        </w:tc>
        <w:tc>
          <w:tcPr>
            <w:tcW w:w="1615" w:type="dxa"/>
            <w:tcBorders>
              <w:top w:val="single" w:color="000000" w:sz="8" w:space="0"/>
              <w:left w:val="single" w:color="000000" w:sz="8" w:space="0"/>
              <w:bottom w:val="single" w:color="FFFFFF" w:sz="8" w:space="0"/>
              <w:right w:val="single" w:color="000000"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4"/>
                <w:szCs w:val="24"/>
                <w:u w:val="none"/>
                <w:lang w:val="en-US" w:eastAsia="zh-CN" w:bidi="ar"/>
              </w:rPr>
              <w:t>100.00%</w:t>
            </w:r>
          </w:p>
        </w:tc>
      </w:tr>
    </w:tbl>
    <w:p>
      <w:pPr>
        <w:adjustRightInd w:val="0"/>
        <w:snapToGrid w:val="0"/>
        <w:spacing w:line="360" w:lineRule="auto"/>
        <w:ind w:firstLine="480" w:firstLineChars="200"/>
        <w:rPr>
          <w:rFonts w:ascii="宋体" w:hAnsi="宋体"/>
          <w:color w:val="FF0000"/>
          <w:sz w:val="24"/>
        </w:rPr>
      </w:pPr>
    </w:p>
    <w:p>
      <w:pPr>
        <w:adjustRightInd w:val="0"/>
        <w:snapToGrid w:val="0"/>
        <w:spacing w:line="360" w:lineRule="auto"/>
        <w:ind w:firstLine="482" w:firstLineChars="200"/>
        <w:rPr>
          <w:rFonts w:ascii="宋体" w:hAnsi="宋体"/>
          <w:b/>
          <w:sz w:val="24"/>
        </w:rPr>
      </w:pPr>
      <w:r>
        <w:rPr>
          <w:rFonts w:hint="eastAsia" w:ascii="宋体" w:hAnsi="宋体"/>
          <w:b/>
          <w:sz w:val="24"/>
        </w:rPr>
        <w:t>（四）按</w:t>
      </w:r>
      <w:r>
        <w:rPr>
          <w:rFonts w:ascii="宋体" w:hAnsi="宋体"/>
          <w:b/>
          <w:sz w:val="24"/>
        </w:rPr>
        <w:t>职业供求情况分析</w:t>
      </w:r>
    </w:p>
    <w:p>
      <w:pPr>
        <w:adjustRightInd w:val="0"/>
        <w:snapToGrid w:val="0"/>
        <w:spacing w:line="360" w:lineRule="auto"/>
        <w:ind w:firstLine="420"/>
        <w:rPr>
          <w:rFonts w:ascii="宋体" w:hAnsi="宋体"/>
          <w:sz w:val="24"/>
        </w:rPr>
      </w:pPr>
      <w:r>
        <w:rPr>
          <w:rFonts w:hint="eastAsia" w:ascii="宋体" w:hAnsi="宋体" w:cs="宋体"/>
          <w:kern w:val="0"/>
          <w:sz w:val="24"/>
        </w:rPr>
        <w:t>从职业供求情况来看，操作工需求和求职人数最多，比重均最大，超过一半，从数量上缺口也最大。这一情况与去年同期及上期供求情况相似，也是我市以制造业为主的产业结构的体现。</w:t>
      </w:r>
    </w:p>
    <w:p>
      <w:pPr>
        <w:adjustRightInd w:val="0"/>
        <w:snapToGrid w:val="0"/>
        <w:spacing w:line="360" w:lineRule="auto"/>
        <w:jc w:val="center"/>
        <w:rPr>
          <w:rFonts w:ascii="宋体" w:hAnsi="宋体"/>
          <w:sz w:val="24"/>
        </w:rPr>
      </w:pPr>
      <w:r>
        <w:rPr>
          <w:rFonts w:hint="eastAsia" w:ascii="宋体" w:hAnsi="宋体"/>
          <w:sz w:val="24"/>
        </w:rPr>
        <w:t>表5.</w:t>
      </w:r>
      <w:r>
        <w:rPr>
          <w:rFonts w:ascii="宋体" w:hAnsi="宋体"/>
          <w:sz w:val="24"/>
        </w:rPr>
        <w:t>按职业分组的供求人数</w:t>
      </w:r>
    </w:p>
    <w:tbl>
      <w:tblPr>
        <w:tblStyle w:val="8"/>
        <w:tblW w:w="6933" w:type="dxa"/>
        <w:jc w:val="center"/>
        <w:tblLayout w:type="fixed"/>
        <w:tblCellMar>
          <w:top w:w="0" w:type="dxa"/>
          <w:left w:w="0" w:type="dxa"/>
          <w:bottom w:w="0" w:type="dxa"/>
          <w:right w:w="0" w:type="dxa"/>
        </w:tblCellMar>
      </w:tblPr>
      <w:tblGrid>
        <w:gridCol w:w="2055"/>
        <w:gridCol w:w="936"/>
        <w:gridCol w:w="986"/>
        <w:gridCol w:w="936"/>
        <w:gridCol w:w="987"/>
        <w:gridCol w:w="1033"/>
      </w:tblGrid>
      <w:tr>
        <w:tblPrEx>
          <w:tblCellMar>
            <w:top w:w="0" w:type="dxa"/>
            <w:left w:w="0" w:type="dxa"/>
            <w:bottom w:w="0" w:type="dxa"/>
            <w:right w:w="0" w:type="dxa"/>
          </w:tblCellMar>
        </w:tblPrEx>
        <w:trPr>
          <w:cantSplit/>
          <w:trHeight w:val="397" w:hRule="atLeast"/>
          <w:jc w:val="center"/>
        </w:trPr>
        <w:tc>
          <w:tcPr>
            <w:tcW w:w="2055" w:type="dxa"/>
            <w:vMerge w:val="restart"/>
            <w:tcBorders>
              <w:top w:val="single" w:color="auto" w:sz="8" w:space="0"/>
              <w:left w:val="single" w:color="auto" w:sz="8" w:space="0"/>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职业类别</w:t>
            </w:r>
          </w:p>
        </w:tc>
        <w:tc>
          <w:tcPr>
            <w:tcW w:w="4878"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劳动力供求人数比较</w:t>
            </w:r>
          </w:p>
        </w:tc>
      </w:tr>
      <w:tr>
        <w:tblPrEx>
          <w:tblCellMar>
            <w:top w:w="0" w:type="dxa"/>
            <w:left w:w="0" w:type="dxa"/>
            <w:bottom w:w="0" w:type="dxa"/>
            <w:right w:w="0" w:type="dxa"/>
          </w:tblCellMar>
        </w:tblPrEx>
        <w:trPr>
          <w:cantSplit/>
          <w:trHeight w:val="397" w:hRule="atLeast"/>
          <w:jc w:val="center"/>
        </w:trPr>
        <w:tc>
          <w:tcPr>
            <w:tcW w:w="2055" w:type="dxa"/>
            <w:vMerge w:val="continue"/>
            <w:tcBorders>
              <w:top w:val="single" w:color="auto" w:sz="8" w:space="0"/>
              <w:left w:val="single" w:color="auto" w:sz="8" w:space="0"/>
              <w:bottom w:val="single" w:color="auto" w:sz="8" w:space="0"/>
              <w:right w:val="single" w:color="auto" w:sz="8" w:space="0"/>
            </w:tcBorders>
            <w:vAlign w:val="center"/>
          </w:tcPr>
          <w:p>
            <w:pPr>
              <w:widowControl/>
              <w:spacing w:line="360" w:lineRule="auto"/>
              <w:jc w:val="center"/>
              <w:rPr>
                <w:rFonts w:ascii="Verdana" w:hAnsi="Verdana" w:cs="宋体"/>
                <w:kern w:val="0"/>
                <w:sz w:val="24"/>
              </w:rPr>
            </w:pPr>
          </w:p>
        </w:tc>
        <w:tc>
          <w:tcPr>
            <w:tcW w:w="936" w:type="dxa"/>
            <w:tcBorders>
              <w:top w:val="nil"/>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第三季度</w:t>
            </w:r>
          </w:p>
          <w:p>
            <w:pPr>
              <w:widowControl/>
              <w:spacing w:line="360" w:lineRule="auto"/>
              <w:jc w:val="center"/>
              <w:rPr>
                <w:rFonts w:ascii="宋体" w:hAnsi="宋体" w:cs="宋体"/>
                <w:kern w:val="0"/>
                <w:sz w:val="24"/>
              </w:rPr>
            </w:pPr>
            <w:r>
              <w:rPr>
                <w:rFonts w:hint="eastAsia" w:ascii="宋体" w:hAnsi="宋体" w:cs="宋体"/>
                <w:kern w:val="0"/>
                <w:sz w:val="24"/>
              </w:rPr>
              <w:t>需求人数（人）</w:t>
            </w:r>
          </w:p>
        </w:tc>
        <w:tc>
          <w:tcPr>
            <w:tcW w:w="986" w:type="dxa"/>
            <w:tcBorders>
              <w:top w:val="nil"/>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第三季度</w:t>
            </w:r>
          </w:p>
          <w:p>
            <w:pPr>
              <w:widowControl/>
              <w:spacing w:line="360" w:lineRule="auto"/>
              <w:jc w:val="center"/>
              <w:rPr>
                <w:rFonts w:ascii="宋体" w:hAnsi="宋体" w:cs="宋体"/>
                <w:kern w:val="0"/>
                <w:sz w:val="24"/>
              </w:rPr>
            </w:pPr>
            <w:r>
              <w:rPr>
                <w:rFonts w:hint="eastAsia" w:ascii="宋体" w:hAnsi="宋体" w:cs="宋体"/>
                <w:kern w:val="0"/>
                <w:sz w:val="24"/>
              </w:rPr>
              <w:t>需求比重  （%）</w:t>
            </w:r>
          </w:p>
        </w:tc>
        <w:tc>
          <w:tcPr>
            <w:tcW w:w="936" w:type="dxa"/>
            <w:tcBorders>
              <w:top w:val="nil"/>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第三季度</w:t>
            </w:r>
          </w:p>
          <w:p>
            <w:pPr>
              <w:widowControl/>
              <w:spacing w:line="360" w:lineRule="auto"/>
              <w:jc w:val="center"/>
              <w:rPr>
                <w:rFonts w:ascii="宋体" w:hAnsi="宋体" w:cs="宋体"/>
                <w:kern w:val="0"/>
                <w:sz w:val="24"/>
              </w:rPr>
            </w:pPr>
            <w:r>
              <w:rPr>
                <w:rFonts w:hint="eastAsia" w:ascii="宋体" w:hAnsi="宋体" w:cs="宋体"/>
                <w:kern w:val="0"/>
                <w:sz w:val="24"/>
              </w:rPr>
              <w:t>求职人数  （人）</w:t>
            </w:r>
          </w:p>
        </w:tc>
        <w:tc>
          <w:tcPr>
            <w:tcW w:w="987" w:type="dxa"/>
            <w:tcBorders>
              <w:top w:val="nil"/>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第三季度</w:t>
            </w:r>
          </w:p>
          <w:p>
            <w:pPr>
              <w:widowControl/>
              <w:spacing w:line="360" w:lineRule="auto"/>
              <w:jc w:val="center"/>
              <w:rPr>
                <w:rFonts w:ascii="宋体" w:hAnsi="宋体" w:cs="宋体"/>
                <w:kern w:val="0"/>
                <w:sz w:val="24"/>
              </w:rPr>
            </w:pPr>
            <w:r>
              <w:rPr>
                <w:rFonts w:hint="eastAsia" w:ascii="宋体" w:hAnsi="宋体" w:cs="宋体"/>
                <w:kern w:val="0"/>
                <w:sz w:val="24"/>
              </w:rPr>
              <w:t>求职比重  （%）</w:t>
            </w:r>
          </w:p>
        </w:tc>
        <w:tc>
          <w:tcPr>
            <w:tcW w:w="1033"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第三季度</w:t>
            </w:r>
          </w:p>
          <w:p>
            <w:pPr>
              <w:widowControl/>
              <w:spacing w:line="360" w:lineRule="auto"/>
              <w:jc w:val="center"/>
              <w:rPr>
                <w:rFonts w:ascii="宋体" w:hAnsi="宋体" w:cs="宋体"/>
                <w:kern w:val="0"/>
                <w:sz w:val="24"/>
              </w:rPr>
            </w:pPr>
            <w:r>
              <w:rPr>
                <w:rFonts w:hint="eastAsia" w:ascii="宋体" w:hAnsi="宋体" w:cs="宋体"/>
                <w:kern w:val="0"/>
                <w:sz w:val="24"/>
              </w:rPr>
              <w:t>求人倍率</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单位负责人</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0.37%</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146</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0.36%</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1.25 </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专业技术人员</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5693</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11.59%</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4777</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11.63%</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1.19 </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办事人员和有关人员</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3500</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7.12%</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2751</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6.70%</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1.27 </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商业和服务业人员</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7953</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16.18%</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6220</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15.14%</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1.28 </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农林牧渔水利生产人员</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生产运输设备操作工</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28565</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58.13%</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24289</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59.12%</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1.18 </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其他</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3245</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6.60%</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2899</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7.06%</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1.12 </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无要求</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w:t>
            </w:r>
          </w:p>
        </w:tc>
      </w:tr>
      <w:tr>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合计</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49139</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100.00%</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41082</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100.00%</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1.20 </w:t>
            </w:r>
          </w:p>
        </w:tc>
      </w:tr>
    </w:tbl>
    <w:p>
      <w:pPr>
        <w:adjustRightInd w:val="0"/>
        <w:snapToGrid w:val="0"/>
        <w:spacing w:line="360" w:lineRule="auto"/>
        <w:jc w:val="center"/>
        <w:rPr>
          <w:rFonts w:ascii="宋体" w:hAnsi="宋体"/>
          <w:color w:val="FF0000"/>
          <w:sz w:val="24"/>
        </w:rPr>
      </w:pPr>
    </w:p>
    <w:tbl>
      <w:tblPr>
        <w:tblStyle w:val="8"/>
        <w:tblW w:w="9109" w:type="dxa"/>
        <w:tblInd w:w="93" w:type="dxa"/>
        <w:tblLayout w:type="fixed"/>
        <w:tblCellMar>
          <w:top w:w="0" w:type="dxa"/>
          <w:left w:w="108" w:type="dxa"/>
          <w:bottom w:w="0" w:type="dxa"/>
          <w:right w:w="108" w:type="dxa"/>
        </w:tblCellMar>
      </w:tblPr>
      <w:tblGrid>
        <w:gridCol w:w="9109"/>
      </w:tblGrid>
      <w:tr>
        <w:tblPrEx>
          <w:tblCellMar>
            <w:top w:w="0" w:type="dxa"/>
            <w:left w:w="108" w:type="dxa"/>
            <w:bottom w:w="0" w:type="dxa"/>
            <w:right w:w="108" w:type="dxa"/>
          </w:tblCellMar>
        </w:tblPrEx>
        <w:trPr>
          <w:trHeight w:val="1212" w:hRule="atLeast"/>
        </w:trPr>
        <w:tc>
          <w:tcPr>
            <w:tcW w:w="9109" w:type="dxa"/>
            <w:tcBorders>
              <w:top w:val="nil"/>
              <w:left w:val="nil"/>
              <w:bottom w:val="nil"/>
              <w:right w:val="nil"/>
            </w:tcBorders>
            <w:shd w:val="clear" w:color="auto" w:fill="auto"/>
            <w:vAlign w:val="center"/>
          </w:tcPr>
          <w:p>
            <w:pPr>
              <w:widowControl/>
              <w:spacing w:line="360" w:lineRule="auto"/>
              <w:ind w:right="252" w:rightChars="120"/>
              <w:jc w:val="center"/>
              <w:rPr>
                <w:rFonts w:ascii="宋体" w:hAnsi="宋体"/>
                <w:sz w:val="24"/>
              </w:rPr>
            </w:pPr>
            <w:r>
              <w:rPr>
                <w:rFonts w:hint="eastAsia" w:ascii="宋体" w:hAnsi="宋体"/>
                <w:sz w:val="24"/>
              </w:rPr>
              <w:t>表6</w:t>
            </w:r>
            <w:r>
              <w:rPr>
                <w:rFonts w:hint="eastAsia" w:ascii="宋体" w:hAnsi="宋体"/>
                <w:sz w:val="24"/>
                <w:lang w:val="en-US" w:eastAsia="zh-CN"/>
              </w:rPr>
              <w:t>.</w:t>
            </w:r>
            <w:r>
              <w:rPr>
                <w:rFonts w:hint="eastAsia" w:ascii="宋体" w:hAnsi="宋体"/>
                <w:sz w:val="24"/>
              </w:rPr>
              <w:t>需求大于求职缺口最大的前十个职业</w:t>
            </w:r>
          </w:p>
          <w:tbl>
            <w:tblPr>
              <w:tblStyle w:val="8"/>
              <w:tblpPr w:leftFromText="180" w:rightFromText="180" w:vertAnchor="text" w:horzAnchor="page" w:tblpXSpec="center" w:tblpY="143"/>
              <w:tblOverlap w:val="never"/>
              <w:tblW w:w="8888" w:type="dxa"/>
              <w:jc w:val="center"/>
              <w:shd w:val="clear" w:color="auto" w:fill="DAEEF3" w:themeFill="accent5" w:themeFillTint="33"/>
              <w:tblLayout w:type="fixed"/>
              <w:tblCellMar>
                <w:top w:w="0" w:type="dxa"/>
                <w:left w:w="108" w:type="dxa"/>
                <w:bottom w:w="0" w:type="dxa"/>
                <w:right w:w="108" w:type="dxa"/>
              </w:tblCellMar>
            </w:tblPr>
            <w:tblGrid>
              <w:gridCol w:w="458"/>
              <w:gridCol w:w="1872"/>
              <w:gridCol w:w="1494"/>
              <w:gridCol w:w="1519"/>
              <w:gridCol w:w="1350"/>
              <w:gridCol w:w="1012"/>
              <w:gridCol w:w="1183"/>
            </w:tblGrid>
            <w:tr>
              <w:tblPrEx>
                <w:shd w:val="clear" w:color="auto" w:fill="DAEEF3" w:themeFill="accent5" w:themeFillTint="33"/>
                <w:tblCellMar>
                  <w:top w:w="0" w:type="dxa"/>
                  <w:left w:w="108" w:type="dxa"/>
                  <w:bottom w:w="0" w:type="dxa"/>
                  <w:right w:w="108" w:type="dxa"/>
                </w:tblCellMar>
              </w:tblPrEx>
              <w:trPr>
                <w:trHeight w:val="447" w:hRule="atLeast"/>
                <w:jc w:val="center"/>
              </w:trPr>
              <w:tc>
                <w:tcPr>
                  <w:tcW w:w="2330" w:type="dxa"/>
                  <w:gridSpan w:val="2"/>
                  <w:vMerge w:val="restart"/>
                  <w:tcBorders>
                    <w:top w:val="single" w:color="auto" w:sz="4" w:space="0"/>
                    <w:left w:val="single" w:color="auto" w:sz="4" w:space="0"/>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职业</w:t>
                  </w:r>
                </w:p>
              </w:tc>
              <w:tc>
                <w:tcPr>
                  <w:tcW w:w="1494" w:type="dxa"/>
                  <w:vMerge w:val="restart"/>
                  <w:tcBorders>
                    <w:top w:val="single" w:color="auto" w:sz="4" w:space="0"/>
                    <w:left w:val="single" w:color="auto" w:sz="4" w:space="0"/>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职业代码</w:t>
                  </w:r>
                </w:p>
              </w:tc>
              <w:tc>
                <w:tcPr>
                  <w:tcW w:w="5064" w:type="dxa"/>
                  <w:gridSpan w:val="4"/>
                  <w:tcBorders>
                    <w:top w:val="single" w:color="auto" w:sz="4" w:space="0"/>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劳动力供求人数比较</w:t>
                  </w:r>
                </w:p>
              </w:tc>
            </w:tr>
            <w:tr>
              <w:tblPrEx>
                <w:tblCellMar>
                  <w:top w:w="0" w:type="dxa"/>
                  <w:left w:w="108" w:type="dxa"/>
                  <w:bottom w:w="0" w:type="dxa"/>
                  <w:right w:w="108" w:type="dxa"/>
                </w:tblCellMar>
              </w:tblPrEx>
              <w:trPr>
                <w:trHeight w:val="447" w:hRule="atLeast"/>
                <w:jc w:val="center"/>
              </w:trPr>
              <w:tc>
                <w:tcPr>
                  <w:tcW w:w="2330" w:type="dxa"/>
                  <w:gridSpan w:val="2"/>
                  <w:vMerge w:val="continue"/>
                  <w:tcBorders>
                    <w:top w:val="single" w:color="auto" w:sz="4" w:space="0"/>
                    <w:left w:val="single" w:color="auto" w:sz="4" w:space="0"/>
                    <w:bottom w:val="single" w:color="auto" w:sz="4" w:space="0"/>
                    <w:right w:val="single" w:color="auto" w:sz="4" w:space="0"/>
                  </w:tcBorders>
                  <w:shd w:val="clear" w:color="auto" w:fill="92CDDC" w:themeFill="accent5" w:themeFillTint="99"/>
                  <w:vAlign w:val="center"/>
                </w:tcPr>
                <w:p>
                  <w:pPr>
                    <w:widowControl/>
                    <w:spacing w:line="360" w:lineRule="auto"/>
                    <w:jc w:val="left"/>
                    <w:rPr>
                      <w:rFonts w:ascii="宋体" w:hAnsi="宋体" w:cs="宋体"/>
                      <w:b/>
                      <w:bCs/>
                      <w:kern w:val="0"/>
                      <w:sz w:val="24"/>
                    </w:rPr>
                  </w:pPr>
                </w:p>
              </w:tc>
              <w:tc>
                <w:tcPr>
                  <w:tcW w:w="1494" w:type="dxa"/>
                  <w:vMerge w:val="continue"/>
                  <w:tcBorders>
                    <w:top w:val="single" w:color="auto" w:sz="4" w:space="0"/>
                    <w:left w:val="single" w:color="auto" w:sz="4" w:space="0"/>
                    <w:bottom w:val="single" w:color="auto" w:sz="4" w:space="0"/>
                    <w:right w:val="single" w:color="auto" w:sz="4" w:space="0"/>
                  </w:tcBorders>
                  <w:shd w:val="clear" w:color="auto" w:fill="92CDDC" w:themeFill="accent5" w:themeFillTint="99"/>
                  <w:vAlign w:val="center"/>
                </w:tcPr>
                <w:p>
                  <w:pPr>
                    <w:widowControl/>
                    <w:spacing w:line="360" w:lineRule="auto"/>
                    <w:jc w:val="left"/>
                    <w:rPr>
                      <w:rFonts w:ascii="宋体" w:hAnsi="宋体" w:cs="宋体"/>
                      <w:b/>
                      <w:bCs/>
                      <w:kern w:val="0"/>
                      <w:sz w:val="24"/>
                    </w:rPr>
                  </w:pPr>
                </w:p>
              </w:tc>
              <w:tc>
                <w:tcPr>
                  <w:tcW w:w="1519"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需求人数</w:t>
                  </w:r>
                </w:p>
              </w:tc>
              <w:tc>
                <w:tcPr>
                  <w:tcW w:w="1350"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求职人数</w:t>
                  </w:r>
                </w:p>
              </w:tc>
              <w:tc>
                <w:tcPr>
                  <w:tcW w:w="1012"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缺口数</w:t>
                  </w:r>
                </w:p>
              </w:tc>
              <w:tc>
                <w:tcPr>
                  <w:tcW w:w="1183"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求人倍率</w:t>
                  </w:r>
                </w:p>
              </w:tc>
            </w:tr>
            <w:tr>
              <w:tblPrEx>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1</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纺纱工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6-04-02-01</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904</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528</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376</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1.71 </w:t>
                  </w:r>
                </w:p>
              </w:tc>
            </w:tr>
            <w:tr>
              <w:tblPrEx>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2</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焊工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6-18-02-04</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804</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436</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368</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1.84 </w:t>
                  </w:r>
                </w:p>
              </w:tc>
            </w:tr>
            <w:tr>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3</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包装工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6-31-05-00</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884</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608</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276</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1.45 </w:t>
                  </w:r>
                </w:p>
              </w:tc>
            </w:tr>
            <w:tr>
              <w:tblPrEx>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4</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缝纫工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6-05-01-03</w:t>
                  </w:r>
                </w:p>
              </w:tc>
              <w:tc>
                <w:tcPr>
                  <w:tcW w:w="1519" w:type="dxa"/>
                  <w:tcBorders>
                    <w:top w:val="nil"/>
                    <w:left w:val="nil"/>
                    <w:bottom w:val="nil"/>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630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374</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256</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1.68 </w:t>
                  </w:r>
                </w:p>
              </w:tc>
            </w:tr>
            <w:tr>
              <w:tblPrEx>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5</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冲压工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6-18-01-12</w:t>
                  </w:r>
                </w:p>
              </w:tc>
              <w:tc>
                <w:tcPr>
                  <w:tcW w:w="1519" w:type="dxa"/>
                  <w:tcBorders>
                    <w:top w:val="single" w:color="auto" w:sz="4" w:space="0"/>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600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374</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226</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1.60 </w:t>
                  </w:r>
                </w:p>
              </w:tc>
            </w:tr>
            <w:tr>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6</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电工</w:t>
                  </w:r>
                </w:p>
              </w:tc>
              <w:tc>
                <w:tcPr>
                  <w:tcW w:w="1494" w:type="dxa"/>
                  <w:tcBorders>
                    <w:top w:val="nil"/>
                    <w:left w:val="nil"/>
                    <w:bottom w:val="nil"/>
                    <w:right w:val="nil"/>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6-31-01-03</w:t>
                  </w:r>
                </w:p>
              </w:tc>
              <w:tc>
                <w:tcPr>
                  <w:tcW w:w="1519" w:type="dxa"/>
                  <w:tcBorders>
                    <w:top w:val="nil"/>
                    <w:left w:val="single" w:color="auto" w:sz="4" w:space="0"/>
                    <w:bottom w:val="nil"/>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458</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300</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158</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1.53 </w:t>
                  </w:r>
                </w:p>
              </w:tc>
            </w:tr>
            <w:tr>
              <w:tblPrEx>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7</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安全员</w:t>
                  </w:r>
                </w:p>
              </w:tc>
              <w:tc>
                <w:tcPr>
                  <w:tcW w:w="1494" w:type="dxa"/>
                  <w:tcBorders>
                    <w:top w:val="single" w:color="auto" w:sz="4" w:space="0"/>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6-31-06-00</w:t>
                  </w:r>
                </w:p>
              </w:tc>
              <w:tc>
                <w:tcPr>
                  <w:tcW w:w="1519" w:type="dxa"/>
                  <w:tcBorders>
                    <w:top w:val="single" w:color="auto" w:sz="4" w:space="0"/>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356</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216</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140</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1.65 </w:t>
                  </w:r>
                </w:p>
              </w:tc>
            </w:tr>
            <w:tr>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8</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车工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6-18-01-01</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596</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468</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128</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1.27 </w:t>
                  </w:r>
                </w:p>
              </w:tc>
            </w:tr>
            <w:tr>
              <w:tblPrEx>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9</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机修钳工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6-31-01-02</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428</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308</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120</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1.39 </w:t>
                  </w:r>
                </w:p>
              </w:tc>
            </w:tr>
            <w:tr>
              <w:tblPrEx>
                <w:tblCellMar>
                  <w:top w:w="0" w:type="dxa"/>
                  <w:left w:w="108" w:type="dxa"/>
                  <w:bottom w:w="0" w:type="dxa"/>
                  <w:right w:w="108" w:type="dxa"/>
                </w:tblCellMar>
              </w:tblPrEx>
              <w:trPr>
                <w:trHeight w:val="45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jc w:val="center"/>
                    <w:rPr>
                      <w:rFonts w:hint="eastAsia"/>
                      <w:sz w:val="24"/>
                      <w:lang w:val="en-US" w:eastAsia="zh-CN"/>
                    </w:rPr>
                  </w:pPr>
                  <w:r>
                    <w:rPr>
                      <w:rFonts w:hint="eastAsia"/>
                      <w:sz w:val="24"/>
                      <w:lang w:val="en-US" w:eastAsia="zh-CN"/>
                    </w:rPr>
                    <w:t>10</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铣工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6-18-01-02</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444</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344</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100</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1.29 </w:t>
                  </w:r>
                </w:p>
              </w:tc>
            </w:tr>
          </w:tbl>
          <w:p>
            <w:pPr>
              <w:widowControl/>
              <w:spacing w:line="360" w:lineRule="auto"/>
              <w:ind w:right="252" w:rightChars="120"/>
              <w:jc w:val="center"/>
              <w:rPr>
                <w:rFonts w:ascii="宋体" w:hAnsi="宋体"/>
                <w:color w:val="FF0000"/>
                <w:sz w:val="24"/>
              </w:rPr>
            </w:pPr>
          </w:p>
          <w:p>
            <w:pPr>
              <w:widowControl/>
              <w:spacing w:line="360" w:lineRule="auto"/>
              <w:ind w:right="252" w:rightChars="120"/>
              <w:jc w:val="center"/>
              <w:rPr>
                <w:rFonts w:ascii="宋体" w:hAnsi="宋体" w:cs="宋体"/>
                <w:b/>
                <w:bCs/>
                <w:color w:val="FF0000"/>
                <w:kern w:val="0"/>
                <w:sz w:val="24"/>
              </w:rPr>
            </w:pPr>
          </w:p>
        </w:tc>
      </w:tr>
    </w:tbl>
    <w:p>
      <w:pPr>
        <w:adjustRightInd w:val="0"/>
        <w:snapToGrid w:val="0"/>
        <w:spacing w:line="360" w:lineRule="auto"/>
        <w:jc w:val="center"/>
        <w:rPr>
          <w:rFonts w:ascii="宋体" w:hAnsi="宋体"/>
          <w:sz w:val="24"/>
        </w:rPr>
      </w:pPr>
      <w:r>
        <w:rPr>
          <w:rFonts w:hint="eastAsia" w:ascii="宋体" w:hAnsi="宋体"/>
          <w:sz w:val="24"/>
        </w:rPr>
        <w:t>表</w:t>
      </w:r>
      <w:r>
        <w:rPr>
          <w:rFonts w:ascii="宋体" w:hAnsi="宋体"/>
          <w:sz w:val="24"/>
        </w:rPr>
        <w:t>7</w:t>
      </w:r>
      <w:r>
        <w:rPr>
          <w:rFonts w:hint="eastAsia" w:ascii="宋体" w:hAnsi="宋体"/>
          <w:sz w:val="24"/>
          <w:lang w:val="en-US" w:eastAsia="zh-CN"/>
        </w:rPr>
        <w:t>.</w:t>
      </w:r>
      <w:r>
        <w:rPr>
          <w:rFonts w:hint="eastAsia" w:ascii="宋体" w:hAnsi="宋体"/>
          <w:sz w:val="24"/>
        </w:rPr>
        <w:t>需求小于求职缺口最大的十个职业</w:t>
      </w:r>
    </w:p>
    <w:tbl>
      <w:tblPr>
        <w:tblStyle w:val="8"/>
        <w:tblW w:w="9555" w:type="dxa"/>
        <w:jc w:val="center"/>
        <w:shd w:val="clear" w:color="auto" w:fill="DAEEF3" w:themeFill="accent5" w:themeFillTint="33"/>
        <w:tblLayout w:type="fixed"/>
        <w:tblCellMar>
          <w:top w:w="0" w:type="dxa"/>
          <w:left w:w="108" w:type="dxa"/>
          <w:bottom w:w="0" w:type="dxa"/>
          <w:right w:w="108" w:type="dxa"/>
        </w:tblCellMar>
      </w:tblPr>
      <w:tblGrid>
        <w:gridCol w:w="458"/>
        <w:gridCol w:w="2199"/>
        <w:gridCol w:w="1487"/>
        <w:gridCol w:w="1487"/>
        <w:gridCol w:w="1487"/>
        <w:gridCol w:w="1126"/>
        <w:gridCol w:w="1311"/>
      </w:tblGrid>
      <w:tr>
        <w:tblPrEx>
          <w:tblCellMar>
            <w:top w:w="0" w:type="dxa"/>
            <w:left w:w="108" w:type="dxa"/>
            <w:bottom w:w="0" w:type="dxa"/>
            <w:right w:w="108" w:type="dxa"/>
          </w:tblCellMar>
        </w:tblPrEx>
        <w:trPr>
          <w:trHeight w:val="402" w:hRule="atLeast"/>
          <w:jc w:val="center"/>
        </w:trPr>
        <w:tc>
          <w:tcPr>
            <w:tcW w:w="2657" w:type="dxa"/>
            <w:gridSpan w:val="2"/>
            <w:vMerge w:val="restart"/>
            <w:tcBorders>
              <w:top w:val="single" w:color="auto" w:sz="4" w:space="0"/>
              <w:left w:val="single" w:color="auto" w:sz="4" w:space="0"/>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职业</w:t>
            </w:r>
          </w:p>
        </w:tc>
        <w:tc>
          <w:tcPr>
            <w:tcW w:w="1487" w:type="dxa"/>
            <w:vMerge w:val="restart"/>
            <w:tcBorders>
              <w:top w:val="single" w:color="auto" w:sz="4" w:space="0"/>
              <w:left w:val="single" w:color="auto" w:sz="4" w:space="0"/>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职业代码</w:t>
            </w:r>
          </w:p>
        </w:tc>
        <w:tc>
          <w:tcPr>
            <w:tcW w:w="5411" w:type="dxa"/>
            <w:gridSpan w:val="4"/>
            <w:tcBorders>
              <w:top w:val="single" w:color="auto" w:sz="4" w:space="0"/>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劳动力供求人数比较</w:t>
            </w:r>
          </w:p>
        </w:tc>
      </w:tr>
      <w:tr>
        <w:tblPrEx>
          <w:shd w:val="clear" w:color="auto" w:fill="DAEEF3" w:themeFill="accent5" w:themeFillTint="33"/>
          <w:tblCellMar>
            <w:top w:w="0" w:type="dxa"/>
            <w:left w:w="108" w:type="dxa"/>
            <w:bottom w:w="0" w:type="dxa"/>
            <w:right w:w="108" w:type="dxa"/>
          </w:tblCellMar>
        </w:tblPrEx>
        <w:trPr>
          <w:trHeight w:val="390" w:hRule="atLeast"/>
          <w:jc w:val="center"/>
        </w:trPr>
        <w:tc>
          <w:tcPr>
            <w:tcW w:w="2657" w:type="dxa"/>
            <w:gridSpan w:val="2"/>
            <w:vMerge w:val="continue"/>
            <w:tcBorders>
              <w:top w:val="single" w:color="auto" w:sz="4" w:space="0"/>
              <w:left w:val="single" w:color="auto" w:sz="4" w:space="0"/>
              <w:bottom w:val="single" w:color="auto" w:sz="4" w:space="0"/>
              <w:right w:val="single" w:color="auto" w:sz="4" w:space="0"/>
            </w:tcBorders>
            <w:shd w:val="clear" w:color="auto" w:fill="92CDDC" w:themeFill="accent5" w:themeFillTint="99"/>
            <w:vAlign w:val="center"/>
          </w:tcPr>
          <w:p>
            <w:pPr>
              <w:widowControl/>
              <w:spacing w:line="360" w:lineRule="auto"/>
              <w:jc w:val="left"/>
              <w:rPr>
                <w:rFonts w:ascii="宋体" w:hAnsi="宋体" w:cs="宋体"/>
                <w:b/>
                <w:bCs/>
                <w:kern w:val="0"/>
                <w:sz w:val="24"/>
              </w:rPr>
            </w:pPr>
          </w:p>
        </w:tc>
        <w:tc>
          <w:tcPr>
            <w:tcW w:w="1487" w:type="dxa"/>
            <w:vMerge w:val="continue"/>
            <w:tcBorders>
              <w:top w:val="single" w:color="auto" w:sz="4" w:space="0"/>
              <w:left w:val="single" w:color="auto" w:sz="4" w:space="0"/>
              <w:bottom w:val="single" w:color="auto" w:sz="4" w:space="0"/>
              <w:right w:val="single" w:color="auto" w:sz="4" w:space="0"/>
            </w:tcBorders>
            <w:shd w:val="clear" w:color="auto" w:fill="92CDDC" w:themeFill="accent5" w:themeFillTint="99"/>
            <w:vAlign w:val="center"/>
          </w:tcPr>
          <w:p>
            <w:pPr>
              <w:widowControl/>
              <w:spacing w:line="360" w:lineRule="auto"/>
              <w:jc w:val="left"/>
              <w:rPr>
                <w:rFonts w:ascii="宋体" w:hAnsi="宋体" w:cs="宋体"/>
                <w:b/>
                <w:bCs/>
                <w:kern w:val="0"/>
                <w:sz w:val="24"/>
              </w:rPr>
            </w:pPr>
          </w:p>
        </w:tc>
        <w:tc>
          <w:tcPr>
            <w:tcW w:w="1487"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需求人数</w:t>
            </w:r>
          </w:p>
        </w:tc>
        <w:tc>
          <w:tcPr>
            <w:tcW w:w="1487"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求职人数</w:t>
            </w:r>
          </w:p>
        </w:tc>
        <w:tc>
          <w:tcPr>
            <w:tcW w:w="1126"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缺口数</w:t>
            </w:r>
          </w:p>
        </w:tc>
        <w:tc>
          <w:tcPr>
            <w:tcW w:w="1311" w:type="dxa"/>
            <w:tcBorders>
              <w:top w:val="nil"/>
              <w:left w:val="nil"/>
              <w:bottom w:val="single" w:color="auto" w:sz="4" w:space="0"/>
              <w:right w:val="single" w:color="auto" w:sz="4" w:space="0"/>
            </w:tcBorders>
            <w:shd w:val="clear" w:color="auto" w:fill="92CDDC" w:themeFill="accent5" w:themeFillTint="99"/>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求人倍率</w:t>
            </w:r>
          </w:p>
        </w:tc>
      </w:tr>
      <w:tr>
        <w:tblPrEx>
          <w:shd w:val="clear" w:color="auto" w:fill="DAEEF3" w:themeFill="accent5" w:themeFillTint="33"/>
          <w:tblCellMar>
            <w:top w:w="0" w:type="dxa"/>
            <w:left w:w="108" w:type="dxa"/>
            <w:bottom w:w="0" w:type="dxa"/>
            <w:right w:w="108" w:type="dxa"/>
          </w:tblCellMar>
        </w:tblPrEx>
        <w:trPr>
          <w:trHeight w:val="390"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1</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数字媒体艺术专业人员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2-09-06-07</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318</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774</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-456</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0.41 </w:t>
            </w:r>
          </w:p>
        </w:tc>
      </w:tr>
      <w:tr>
        <w:tblPrEx>
          <w:shd w:val="clear" w:color="auto" w:fill="DAEEF3" w:themeFill="accent5" w:themeFillTint="33"/>
          <w:tblCellMar>
            <w:top w:w="0" w:type="dxa"/>
            <w:left w:w="108" w:type="dxa"/>
            <w:bottom w:w="0" w:type="dxa"/>
            <w:right w:w="108" w:type="dxa"/>
          </w:tblCellMar>
        </w:tblPrEx>
        <w:trPr>
          <w:trHeight w:val="390"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2</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人力资源管理专业人员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2-06-08-01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192</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540</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-348</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0.36 </w:t>
            </w:r>
          </w:p>
        </w:tc>
      </w:tr>
      <w:tr>
        <w:tblPrEx>
          <w:shd w:val="clear" w:color="auto" w:fill="DAEEF3" w:themeFill="accent5" w:themeFillTint="33"/>
          <w:tblCellMar>
            <w:top w:w="0" w:type="dxa"/>
            <w:left w:w="108" w:type="dxa"/>
            <w:bottom w:w="0" w:type="dxa"/>
            <w:right w:w="108" w:type="dxa"/>
          </w:tblCellMar>
        </w:tblPrEx>
        <w:trPr>
          <w:trHeight w:val="390"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3</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行政办事员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3-01-01-01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120</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450</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-330</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0.27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4</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广告设计师</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4-08-08-08</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192</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501</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-309</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0.38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5</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仓储管理员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4-02-06-01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111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327</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-216</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0.34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6</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物业管理员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4-06-01-01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261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438</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-177</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0.60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7</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采购员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4-01-01-01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189</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285</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-96</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0.66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8</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证券交易员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4-05-02-01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105</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198</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-93</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0.53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9</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秘书</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3-01-02-02</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57</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144</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-87</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0.40 </w:t>
            </w:r>
          </w:p>
        </w:tc>
      </w:tr>
      <w:tr>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pPr>
              <w:widowControl/>
              <w:spacing w:line="360" w:lineRule="auto"/>
              <w:jc w:val="center"/>
              <w:rPr>
                <w:rFonts w:ascii="宋体" w:hAnsi="宋体" w:cs="宋体"/>
                <w:b/>
                <w:bCs/>
                <w:kern w:val="0"/>
                <w:sz w:val="24"/>
              </w:rPr>
            </w:pPr>
            <w:r>
              <w:rPr>
                <w:rFonts w:hint="eastAsia" w:ascii="宋体" w:hAnsi="宋体" w:cs="宋体"/>
                <w:b/>
                <w:bCs/>
                <w:kern w:val="0"/>
                <w:sz w:val="24"/>
              </w:rPr>
              <w:t>10</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会计专业人员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2-06-03-00</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114</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195</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-81</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0.58 </w:t>
            </w:r>
          </w:p>
        </w:tc>
      </w:tr>
    </w:tbl>
    <w:p>
      <w:pPr>
        <w:adjustRightInd w:val="0"/>
        <w:snapToGrid w:val="0"/>
        <w:spacing w:line="360" w:lineRule="auto"/>
        <w:jc w:val="both"/>
        <w:rPr>
          <w:rFonts w:ascii="宋体" w:hAnsi="宋体"/>
          <w:sz w:val="24"/>
        </w:rPr>
      </w:pPr>
    </w:p>
    <w:p>
      <w:pPr>
        <w:widowControl/>
        <w:spacing w:before="100" w:beforeAutospacing="1" w:after="100" w:afterAutospacing="1" w:line="360" w:lineRule="auto"/>
        <w:ind w:firstLine="480" w:firstLineChars="200"/>
        <w:jc w:val="left"/>
        <w:rPr>
          <w:rFonts w:ascii="宋体" w:hAnsi="宋体"/>
          <w:color w:val="FF0000"/>
          <w:sz w:val="24"/>
        </w:rPr>
      </w:pPr>
      <w:r>
        <w:rPr>
          <w:rFonts w:hint="eastAsia" w:ascii="宋体" w:hAnsi="宋体" w:cs="宋体"/>
          <w:kern w:val="0"/>
          <w:sz w:val="24"/>
        </w:rPr>
        <w:t>从表6、表7反映出，</w:t>
      </w:r>
      <w:r>
        <w:rPr>
          <w:rFonts w:hint="eastAsia" w:ascii="宋体" w:hAnsi="宋体" w:cs="宋体"/>
          <w:kern w:val="0"/>
          <w:sz w:val="24"/>
          <w:lang w:eastAsia="zh-CN"/>
        </w:rPr>
        <w:t>第三季度</w:t>
      </w:r>
      <w:r>
        <w:rPr>
          <w:rFonts w:hint="eastAsia" w:ascii="宋体" w:hAnsi="宋体" w:cs="宋体"/>
          <w:kern w:val="0"/>
          <w:sz w:val="24"/>
        </w:rPr>
        <w:t>需求缺口排名前三位的是：</w:t>
      </w:r>
      <w:r>
        <w:rPr>
          <w:rFonts w:hint="eastAsia" w:ascii="宋体" w:hAnsi="宋体" w:cs="宋体"/>
          <w:kern w:val="0"/>
          <w:sz w:val="24"/>
          <w:lang w:val="en-US" w:eastAsia="zh-CN"/>
        </w:rPr>
        <w:t>纺纱工、焊工</w:t>
      </w:r>
      <w:r>
        <w:rPr>
          <w:rFonts w:hint="eastAsia" w:ascii="宋体" w:hAnsi="宋体" w:cs="宋体"/>
          <w:kern w:val="0"/>
          <w:sz w:val="24"/>
        </w:rPr>
        <w:t>、</w:t>
      </w:r>
      <w:r>
        <w:rPr>
          <w:rFonts w:hint="eastAsia" w:ascii="宋体" w:hAnsi="宋体" w:cs="宋体"/>
          <w:kern w:val="0"/>
          <w:sz w:val="24"/>
          <w:lang w:val="en-US" w:eastAsia="zh-CN"/>
        </w:rPr>
        <w:t>包装</w:t>
      </w:r>
      <w:r>
        <w:rPr>
          <w:rFonts w:hint="eastAsia" w:ascii="宋体" w:hAnsi="宋体" w:cs="宋体"/>
          <w:kern w:val="0"/>
          <w:sz w:val="24"/>
        </w:rPr>
        <w:t>工，与去年同期及上期情况基本一致，说明这些工种需求量较大，亦与我市产业结构的分布吻合，</w:t>
      </w:r>
      <w:r>
        <w:rPr>
          <w:rFonts w:hint="eastAsia" w:ascii="宋体" w:hAnsi="宋体" w:cs="宋体"/>
          <w:kern w:val="0"/>
          <w:sz w:val="24"/>
          <w:lang w:val="en-US" w:eastAsia="zh-CN"/>
        </w:rPr>
        <w:t>纺纱工、</w:t>
      </w:r>
      <w:r>
        <w:rPr>
          <w:rFonts w:hint="eastAsia" w:ascii="宋体" w:hAnsi="宋体" w:cs="宋体"/>
          <w:kern w:val="0"/>
          <w:sz w:val="24"/>
        </w:rPr>
        <w:t>一线操作工等工种依旧占我市人力资源市场需求的主体位置。</w:t>
      </w:r>
    </w:p>
    <w:p>
      <w:pPr>
        <w:adjustRightInd w:val="0"/>
        <w:snapToGrid w:val="0"/>
        <w:spacing w:line="360" w:lineRule="auto"/>
        <w:ind w:firstLine="482" w:firstLineChars="200"/>
        <w:rPr>
          <w:rFonts w:ascii="宋体" w:hAnsi="宋体"/>
          <w:b/>
          <w:sz w:val="24"/>
        </w:rPr>
      </w:pPr>
      <w:r>
        <w:rPr>
          <w:rFonts w:hint="eastAsia" w:ascii="宋体" w:hAnsi="宋体"/>
          <w:b/>
          <w:sz w:val="24"/>
        </w:rPr>
        <w:t>（五）</w:t>
      </w:r>
      <w:r>
        <w:rPr>
          <w:rFonts w:ascii="宋体" w:hAnsi="宋体"/>
          <w:b/>
          <w:sz w:val="24"/>
        </w:rPr>
        <w:t>求职人员分类</w:t>
      </w:r>
    </w:p>
    <w:p>
      <w:pPr>
        <w:adjustRightInd w:val="0"/>
        <w:snapToGrid w:val="0"/>
        <w:spacing w:line="360" w:lineRule="auto"/>
        <w:ind w:firstLine="480" w:firstLineChars="200"/>
        <w:rPr>
          <w:rFonts w:hint="eastAsia" w:ascii="宋体" w:hAnsi="宋体"/>
          <w:sz w:val="24"/>
        </w:rPr>
      </w:pPr>
      <w:r>
        <w:rPr>
          <w:rFonts w:hint="eastAsia" w:ascii="宋体" w:hAnsi="宋体" w:cs="宋体"/>
          <w:kern w:val="0"/>
          <w:sz w:val="24"/>
        </w:rPr>
        <w:t>根据求职人员类别分析，</w:t>
      </w:r>
      <w:r>
        <w:rPr>
          <w:rFonts w:hint="eastAsia" w:ascii="宋体" w:hAnsi="宋体" w:cs="宋体"/>
          <w:kern w:val="0"/>
          <w:sz w:val="24"/>
          <w:lang w:eastAsia="zh-CN"/>
        </w:rPr>
        <w:t>第三季度</w:t>
      </w:r>
      <w:r>
        <w:rPr>
          <w:rFonts w:hint="eastAsia" w:ascii="宋体" w:hAnsi="宋体" w:cs="宋体"/>
          <w:kern w:val="0"/>
          <w:sz w:val="24"/>
        </w:rPr>
        <w:t>中列前三位的求职者分别是外埠人员</w:t>
      </w:r>
      <w:r>
        <w:rPr>
          <w:rFonts w:hint="eastAsia" w:ascii="宋体" w:hAnsi="宋体" w:cs="宋体"/>
          <w:kern w:val="0"/>
          <w:sz w:val="24"/>
          <w:lang w:val="en-US" w:eastAsia="zh-CN"/>
        </w:rPr>
        <w:t>32.15</w:t>
      </w:r>
      <w:r>
        <w:rPr>
          <w:rFonts w:hint="eastAsia" w:ascii="宋体" w:hAnsi="宋体" w:cs="宋体"/>
          <w:kern w:val="0"/>
          <w:sz w:val="24"/>
        </w:rPr>
        <w:t>%，失业人员</w:t>
      </w:r>
      <w:r>
        <w:rPr>
          <w:rFonts w:hint="eastAsia" w:ascii="宋体" w:hAnsi="宋体" w:cs="宋体"/>
          <w:kern w:val="0"/>
          <w:sz w:val="24"/>
          <w:lang w:val="en-US" w:eastAsia="zh-CN"/>
        </w:rPr>
        <w:t>22.39%</w:t>
      </w:r>
      <w:r>
        <w:rPr>
          <w:rFonts w:hint="eastAsia" w:ascii="宋体" w:hAnsi="宋体" w:cs="宋体"/>
          <w:kern w:val="0"/>
          <w:sz w:val="24"/>
          <w:lang w:eastAsia="zh-CN"/>
        </w:rPr>
        <w:t>，</w:t>
      </w:r>
      <w:r>
        <w:rPr>
          <w:rFonts w:hint="eastAsia" w:ascii="宋体" w:hAnsi="宋体" w:cs="宋体"/>
          <w:kern w:val="0"/>
          <w:sz w:val="24"/>
        </w:rPr>
        <w:t>本市农村人员2</w:t>
      </w:r>
      <w:r>
        <w:rPr>
          <w:rFonts w:hint="eastAsia" w:ascii="宋体" w:hAnsi="宋体" w:cs="宋体"/>
          <w:kern w:val="0"/>
          <w:sz w:val="24"/>
          <w:lang w:val="en-US" w:eastAsia="zh-CN"/>
        </w:rPr>
        <w:t>1</w:t>
      </w:r>
      <w:r>
        <w:rPr>
          <w:rFonts w:hint="eastAsia" w:ascii="宋体" w:hAnsi="宋体" w:cs="宋体"/>
          <w:kern w:val="0"/>
          <w:sz w:val="24"/>
        </w:rPr>
        <w:t>.</w:t>
      </w:r>
      <w:r>
        <w:rPr>
          <w:rFonts w:hint="eastAsia" w:ascii="宋体" w:hAnsi="宋体" w:cs="宋体"/>
          <w:kern w:val="0"/>
          <w:sz w:val="24"/>
          <w:lang w:val="en-US" w:eastAsia="zh-CN"/>
        </w:rPr>
        <w:t>79</w:t>
      </w:r>
      <w:r>
        <w:rPr>
          <w:rFonts w:hint="eastAsia" w:ascii="宋体" w:hAnsi="宋体" w:cs="宋体"/>
          <w:kern w:val="0"/>
          <w:sz w:val="24"/>
        </w:rPr>
        <w:t>%。这一情况与去年同期变化不大。说明求职者中，外来劳动力和失业人员一直占求职者的主体。</w:t>
      </w:r>
    </w:p>
    <w:p>
      <w:pPr>
        <w:adjustRightInd w:val="0"/>
        <w:snapToGrid w:val="0"/>
        <w:spacing w:line="360" w:lineRule="auto"/>
        <w:jc w:val="center"/>
        <w:rPr>
          <w:rFonts w:hint="eastAsia" w:ascii="宋体" w:hAnsi="宋体"/>
          <w:sz w:val="24"/>
        </w:rPr>
      </w:pPr>
    </w:p>
    <w:p>
      <w:pPr>
        <w:adjustRightInd w:val="0"/>
        <w:snapToGrid w:val="0"/>
        <w:spacing w:line="360" w:lineRule="auto"/>
        <w:jc w:val="center"/>
        <w:rPr>
          <w:rFonts w:ascii="宋体" w:hAnsi="宋体"/>
          <w:sz w:val="24"/>
        </w:rPr>
      </w:pPr>
      <w:r>
        <w:rPr>
          <w:rFonts w:hint="eastAsia" w:ascii="宋体" w:hAnsi="宋体"/>
          <w:sz w:val="24"/>
        </w:rPr>
        <w:t>表8</w:t>
      </w:r>
      <w:r>
        <w:rPr>
          <w:rFonts w:hint="eastAsia" w:ascii="宋体" w:hAnsi="宋体"/>
          <w:sz w:val="24"/>
          <w:lang w:val="en-US" w:eastAsia="zh-CN"/>
        </w:rPr>
        <w:t>.</w:t>
      </w:r>
      <w:r>
        <w:rPr>
          <w:rFonts w:ascii="宋体" w:hAnsi="宋体"/>
          <w:sz w:val="24"/>
        </w:rPr>
        <w:t>按求职人员类别分组的求职人数</w:t>
      </w:r>
    </w:p>
    <w:tbl>
      <w:tblPr>
        <w:tblStyle w:val="8"/>
        <w:tblW w:w="5783" w:type="dxa"/>
        <w:jc w:val="center"/>
        <w:tblCellSpacing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
      <w:tblGrid>
        <w:gridCol w:w="2190"/>
        <w:gridCol w:w="1796"/>
        <w:gridCol w:w="1797"/>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FFFF99"/>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求职人员类别</w:t>
            </w:r>
          </w:p>
        </w:tc>
        <w:tc>
          <w:tcPr>
            <w:tcW w:w="1796" w:type="dxa"/>
            <w:tcBorders>
              <w:top w:val="single" w:color="auto" w:sz="8" w:space="0"/>
              <w:left w:val="single" w:color="000000" w:sz="8" w:space="0"/>
              <w:bottom w:val="single" w:color="auto" w:sz="8" w:space="0"/>
              <w:right w:val="single" w:color="auto" w:sz="8" w:space="0"/>
            </w:tcBorders>
            <w:shd w:val="clear" w:color="auto" w:fill="FFFF99"/>
            <w:tcMar>
              <w:top w:w="15" w:type="dxa"/>
              <w:left w:w="15" w:type="dxa"/>
              <w:bottom w:w="15" w:type="dxa"/>
              <w:right w:w="15" w:type="dxa"/>
            </w:tcMar>
            <w:vAlign w:val="cente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第三季度</w:t>
            </w:r>
          </w:p>
          <w:p>
            <w:pPr>
              <w:widowControl/>
              <w:spacing w:line="360" w:lineRule="auto"/>
              <w:jc w:val="center"/>
              <w:rPr>
                <w:rFonts w:ascii="宋体" w:hAnsi="宋体" w:cs="宋体"/>
                <w:kern w:val="0"/>
                <w:sz w:val="24"/>
              </w:rPr>
            </w:pPr>
            <w:r>
              <w:rPr>
                <w:rFonts w:hint="eastAsia" w:ascii="宋体" w:hAnsi="宋体" w:cs="宋体"/>
                <w:kern w:val="0"/>
                <w:sz w:val="24"/>
              </w:rPr>
              <w:t>求职人数(人)</w:t>
            </w:r>
          </w:p>
        </w:tc>
        <w:tc>
          <w:tcPr>
            <w:tcW w:w="1797" w:type="dxa"/>
            <w:tcBorders>
              <w:top w:val="single" w:color="auto" w:sz="8" w:space="0"/>
              <w:left w:val="single" w:color="auto" w:sz="8" w:space="0"/>
              <w:bottom w:val="single" w:color="auto" w:sz="8" w:space="0"/>
              <w:right w:val="single" w:color="auto" w:sz="8" w:space="0"/>
            </w:tcBorders>
            <w:shd w:val="clear" w:color="auto" w:fill="FFFF99"/>
            <w:tcMar>
              <w:top w:w="15" w:type="dxa"/>
              <w:left w:w="15" w:type="dxa"/>
              <w:bottom w:w="15" w:type="dxa"/>
              <w:right w:w="15" w:type="dxa"/>
            </w:tcMar>
            <w:vAlign w:val="center"/>
          </w:tcPr>
          <w:p>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第三季度</w:t>
            </w:r>
          </w:p>
          <w:p>
            <w:pPr>
              <w:widowControl/>
              <w:spacing w:line="360" w:lineRule="auto"/>
              <w:jc w:val="center"/>
              <w:rPr>
                <w:rFonts w:ascii="宋体" w:hAnsi="宋体" w:cs="宋体"/>
                <w:kern w:val="0"/>
                <w:sz w:val="24"/>
              </w:rPr>
            </w:pPr>
            <w:r>
              <w:rPr>
                <w:rFonts w:hint="eastAsia" w:ascii="宋体" w:hAnsi="宋体" w:cs="宋体"/>
                <w:kern w:val="0"/>
                <w:sz w:val="24"/>
              </w:rPr>
              <w:t>所占比重(%)</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新成长失业青年</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6159</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14.99%</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其中：应届高校毕业生</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5776</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14.06%</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失业人员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9200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22.39%</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在业人员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3565</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8.68%</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退休人员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在学人员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本市农村人员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8950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21.79%</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外埠人员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13208</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32.15%</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合计</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41082</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r>
    </w:tbl>
    <w:p>
      <w:pPr>
        <w:adjustRightInd w:val="0"/>
        <w:snapToGrid w:val="0"/>
        <w:spacing w:line="360" w:lineRule="auto"/>
        <w:rPr>
          <w:rFonts w:ascii="宋体" w:hAnsi="宋体"/>
          <w:color w:val="FF0000"/>
          <w:sz w:val="24"/>
        </w:rPr>
      </w:pPr>
    </w:p>
    <w:p>
      <w:pPr>
        <w:adjustRightInd w:val="0"/>
        <w:snapToGrid w:val="0"/>
        <w:spacing w:line="360" w:lineRule="auto"/>
        <w:ind w:firstLine="482" w:firstLineChars="200"/>
        <w:rPr>
          <w:rFonts w:ascii="宋体" w:hAnsi="宋体"/>
          <w:b/>
          <w:sz w:val="24"/>
        </w:rPr>
      </w:pPr>
      <w:r>
        <w:rPr>
          <w:rFonts w:hint="eastAsia" w:ascii="宋体" w:hAnsi="宋体"/>
          <w:b/>
          <w:sz w:val="24"/>
        </w:rPr>
        <w:t>（六）</w:t>
      </w:r>
      <w:r>
        <w:rPr>
          <w:rFonts w:ascii="宋体" w:hAnsi="宋体"/>
          <w:b/>
          <w:sz w:val="24"/>
        </w:rPr>
        <w:t>招聘、应聘条件分析</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宋体" w:hAnsi="宋体"/>
          <w:b/>
          <w:bCs/>
          <w:sz w:val="24"/>
        </w:rPr>
      </w:pPr>
      <w:r>
        <w:rPr>
          <w:rFonts w:hint="eastAsia" w:ascii="宋体" w:hAnsi="宋体"/>
          <w:b/>
          <w:bCs/>
          <w:sz w:val="24"/>
        </w:rPr>
        <w:t>1</w:t>
      </w:r>
      <w:r>
        <w:rPr>
          <w:rFonts w:hint="eastAsia" w:ascii="宋体" w:hAnsi="宋体"/>
          <w:b/>
          <w:bCs/>
          <w:sz w:val="24"/>
          <w:lang w:val="en-US" w:eastAsia="zh-CN"/>
        </w:rPr>
        <w:t>.</w:t>
      </w:r>
      <w:r>
        <w:rPr>
          <w:rFonts w:ascii="宋体" w:hAnsi="宋体"/>
          <w:b/>
          <w:bCs/>
          <w:sz w:val="24"/>
        </w:rPr>
        <w:t>年龄</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cs="宋体"/>
          <w:kern w:val="0"/>
          <w:sz w:val="24"/>
        </w:rPr>
      </w:pPr>
      <w:r>
        <w:rPr>
          <w:rFonts w:ascii="宋体" w:hAnsi="宋体" w:cs="宋体"/>
          <w:kern w:val="0"/>
          <w:sz w:val="24"/>
        </w:rPr>
        <w:t>从</w:t>
      </w:r>
      <w:r>
        <w:rPr>
          <w:rFonts w:hint="eastAsia" w:ascii="宋体" w:hAnsi="宋体" w:cs="宋体"/>
          <w:kern w:val="0"/>
          <w:sz w:val="24"/>
        </w:rPr>
        <w:t>下图</w:t>
      </w:r>
      <w:r>
        <w:rPr>
          <w:rFonts w:ascii="宋体" w:hAnsi="宋体" w:cs="宋体"/>
          <w:kern w:val="0"/>
          <w:sz w:val="24"/>
        </w:rPr>
        <w:t>可以看出</w:t>
      </w:r>
      <w:r>
        <w:rPr>
          <w:rFonts w:hint="eastAsia" w:ascii="宋体" w:hAnsi="宋体" w:cs="宋体"/>
          <w:kern w:val="0"/>
          <w:sz w:val="24"/>
        </w:rPr>
        <w:t>，</w:t>
      </w:r>
      <w:r>
        <w:rPr>
          <w:rFonts w:hint="eastAsia" w:ascii="宋体" w:hAnsi="宋体" w:cs="宋体"/>
          <w:kern w:val="0"/>
          <w:sz w:val="24"/>
          <w:lang w:eastAsia="zh-CN"/>
        </w:rPr>
        <w:t>第三季度</w:t>
      </w:r>
      <w:r>
        <w:rPr>
          <w:rFonts w:ascii="宋体" w:hAnsi="宋体" w:cs="宋体"/>
          <w:kern w:val="0"/>
          <w:sz w:val="24"/>
        </w:rPr>
        <w:t>需求人数最多的是</w:t>
      </w:r>
      <w:r>
        <w:rPr>
          <w:rFonts w:hint="eastAsia" w:ascii="宋体" w:hAnsi="宋体" w:cs="宋体"/>
          <w:kern w:val="0"/>
          <w:sz w:val="24"/>
        </w:rPr>
        <w:t>35-44</w:t>
      </w:r>
      <w:r>
        <w:rPr>
          <w:rFonts w:ascii="宋体" w:hAnsi="宋体" w:cs="宋体"/>
          <w:kern w:val="0"/>
          <w:sz w:val="24"/>
        </w:rPr>
        <w:t>岁这一年龄段，需求比重</w:t>
      </w:r>
      <w:r>
        <w:rPr>
          <w:rFonts w:hint="eastAsia" w:ascii="宋体" w:hAnsi="宋体" w:cs="宋体"/>
          <w:kern w:val="0"/>
          <w:sz w:val="24"/>
        </w:rPr>
        <w:t>为30.</w:t>
      </w:r>
      <w:r>
        <w:rPr>
          <w:rFonts w:hint="eastAsia" w:ascii="宋体" w:hAnsi="宋体" w:cs="宋体"/>
          <w:kern w:val="0"/>
          <w:sz w:val="24"/>
          <w:lang w:val="en-US" w:eastAsia="zh-CN"/>
        </w:rPr>
        <w:t>05</w:t>
      </w:r>
      <w:r>
        <w:rPr>
          <w:rFonts w:ascii="宋体" w:hAnsi="宋体" w:cs="宋体"/>
          <w:kern w:val="0"/>
          <w:sz w:val="24"/>
        </w:rPr>
        <w:t>%，需求量最少的仍然是45岁以上，需求比重仅为</w:t>
      </w:r>
      <w:r>
        <w:rPr>
          <w:rFonts w:hint="eastAsia" w:ascii="宋体" w:hAnsi="宋体" w:cs="宋体"/>
          <w:kern w:val="0"/>
          <w:sz w:val="24"/>
        </w:rPr>
        <w:t>1.</w:t>
      </w:r>
      <w:r>
        <w:rPr>
          <w:rFonts w:hint="eastAsia" w:ascii="宋体" w:hAnsi="宋体" w:cs="宋体"/>
          <w:kern w:val="0"/>
          <w:sz w:val="24"/>
          <w:lang w:val="en-US" w:eastAsia="zh-CN"/>
        </w:rPr>
        <w:t>75</w:t>
      </w:r>
      <w:r>
        <w:rPr>
          <w:rFonts w:ascii="宋体" w:hAnsi="宋体" w:cs="宋体"/>
          <w:kern w:val="0"/>
          <w:sz w:val="24"/>
        </w:rPr>
        <w:t>%</w:t>
      </w:r>
      <w:r>
        <w:rPr>
          <w:rFonts w:hint="eastAsia" w:ascii="宋体" w:hAnsi="宋体" w:cs="宋体"/>
          <w:kern w:val="0"/>
          <w:sz w:val="24"/>
        </w:rPr>
        <w:t>。</w:t>
      </w:r>
      <w:r>
        <w:rPr>
          <w:rFonts w:ascii="宋体" w:hAnsi="宋体" w:cs="宋体"/>
          <w:kern w:val="0"/>
          <w:sz w:val="24"/>
        </w:rPr>
        <w:t>从求职来看，</w:t>
      </w:r>
      <w:r>
        <w:rPr>
          <w:rFonts w:hint="eastAsia" w:ascii="宋体" w:hAnsi="宋体" w:cs="宋体"/>
          <w:kern w:val="0"/>
          <w:sz w:val="24"/>
          <w:lang w:val="en-US" w:eastAsia="zh-CN"/>
        </w:rPr>
        <w:t>3</w:t>
      </w:r>
      <w:r>
        <w:rPr>
          <w:rFonts w:ascii="宋体" w:hAnsi="宋体" w:cs="宋体"/>
          <w:kern w:val="0"/>
          <w:sz w:val="24"/>
        </w:rPr>
        <w:t>5-</w:t>
      </w:r>
      <w:r>
        <w:rPr>
          <w:rFonts w:hint="eastAsia" w:ascii="宋体" w:hAnsi="宋体" w:cs="宋体"/>
          <w:kern w:val="0"/>
          <w:sz w:val="24"/>
          <w:lang w:val="en-US" w:eastAsia="zh-CN"/>
        </w:rPr>
        <w:t>4</w:t>
      </w:r>
      <w:r>
        <w:rPr>
          <w:rFonts w:ascii="宋体" w:hAnsi="宋体" w:cs="宋体"/>
          <w:kern w:val="0"/>
          <w:sz w:val="24"/>
        </w:rPr>
        <w:t>4岁和</w:t>
      </w:r>
      <w:r>
        <w:rPr>
          <w:rFonts w:hint="eastAsia" w:ascii="宋体" w:hAnsi="宋体" w:cs="宋体"/>
          <w:kern w:val="0"/>
          <w:sz w:val="24"/>
          <w:lang w:val="en-US" w:eastAsia="zh-CN"/>
        </w:rPr>
        <w:t>25-34</w:t>
      </w:r>
      <w:r>
        <w:rPr>
          <w:rFonts w:ascii="宋体" w:hAnsi="宋体" w:cs="宋体"/>
          <w:kern w:val="0"/>
          <w:sz w:val="24"/>
        </w:rPr>
        <w:t>岁的求职人群是求职主体，求职比重分别为</w:t>
      </w:r>
      <w:r>
        <w:rPr>
          <w:rFonts w:hint="eastAsia" w:ascii="宋体" w:hAnsi="宋体" w:cs="宋体"/>
          <w:kern w:val="0"/>
          <w:sz w:val="24"/>
          <w:lang w:val="en-US" w:eastAsia="zh-CN"/>
        </w:rPr>
        <w:t>33.88</w:t>
      </w:r>
      <w:r>
        <w:rPr>
          <w:rFonts w:ascii="宋体" w:hAnsi="宋体" w:cs="宋体"/>
          <w:kern w:val="0"/>
          <w:sz w:val="24"/>
        </w:rPr>
        <w:t>%和</w:t>
      </w:r>
      <w:r>
        <w:rPr>
          <w:rFonts w:hint="eastAsia" w:ascii="宋体" w:hAnsi="宋体" w:cs="宋体"/>
          <w:kern w:val="0"/>
          <w:sz w:val="24"/>
          <w:lang w:val="en-US" w:eastAsia="zh-CN"/>
        </w:rPr>
        <w:t>32.54</w:t>
      </w:r>
      <w:r>
        <w:rPr>
          <w:rFonts w:ascii="宋体" w:hAnsi="宋体" w:cs="宋体"/>
          <w:kern w:val="0"/>
          <w:sz w:val="24"/>
        </w:rPr>
        <w:t>%。</w:t>
      </w:r>
    </w:p>
    <w:p>
      <w:pPr>
        <w:spacing w:line="360" w:lineRule="auto"/>
        <w:ind w:firstLine="480" w:firstLineChars="200"/>
        <w:jc w:val="center"/>
        <w:rPr>
          <w:rFonts w:ascii="宋体" w:hAnsi="宋体" w:cs="宋体"/>
          <w:kern w:val="0"/>
          <w:sz w:val="24"/>
        </w:rPr>
      </w:pPr>
      <w:r>
        <w:rPr>
          <w:rFonts w:hint="eastAsia" w:ascii="宋体" w:hAnsi="宋体" w:cs="宋体"/>
          <w:kern w:val="0"/>
          <w:sz w:val="24"/>
        </w:rPr>
        <w:t>表</w:t>
      </w:r>
      <w:r>
        <w:rPr>
          <w:rFonts w:hint="eastAsia" w:ascii="宋体" w:hAnsi="宋体" w:cs="宋体"/>
          <w:kern w:val="0"/>
          <w:sz w:val="24"/>
          <w:lang w:val="en-US" w:eastAsia="zh-CN"/>
        </w:rPr>
        <w:t>9</w:t>
      </w:r>
      <w:r>
        <w:rPr>
          <w:rFonts w:hint="eastAsia" w:ascii="宋体" w:hAnsi="宋体" w:cs="宋体"/>
          <w:kern w:val="0"/>
          <w:sz w:val="24"/>
        </w:rPr>
        <w:t>.按年龄分组的供求人数</w:t>
      </w:r>
    </w:p>
    <w:tbl>
      <w:tblPr>
        <w:tblStyle w:val="8"/>
        <w:tblW w:w="699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401"/>
        <w:gridCol w:w="990"/>
        <w:gridCol w:w="1215"/>
        <w:gridCol w:w="915"/>
        <w:gridCol w:w="1200"/>
        <w:gridCol w:w="127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397" w:hRule="atLeast"/>
          <w:jc w:val="center"/>
        </w:trPr>
        <w:tc>
          <w:tcPr>
            <w:tcW w:w="1401" w:type="dxa"/>
            <w:vMerge w:val="restart"/>
            <w:tcBorders>
              <w:top w:val="single" w:color="auto" w:sz="8" w:space="0"/>
              <w:left w:val="single" w:color="auto" w:sz="8" w:space="0"/>
              <w:bottom w:val="single" w:color="000000"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年龄</w:t>
            </w:r>
          </w:p>
        </w:tc>
        <w:tc>
          <w:tcPr>
            <w:tcW w:w="5595"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劳动力供求人数比较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397" w:hRule="atLeast"/>
          <w:jc w:val="center"/>
        </w:trPr>
        <w:tc>
          <w:tcPr>
            <w:tcW w:w="1401" w:type="dxa"/>
            <w:vMerge w:val="continue"/>
            <w:tcBorders>
              <w:top w:val="single" w:color="auto" w:sz="8" w:space="0"/>
              <w:left w:val="single" w:color="auto" w:sz="8" w:space="0"/>
              <w:bottom w:val="single" w:color="000000" w:sz="8" w:space="0"/>
              <w:right w:val="single" w:color="auto" w:sz="8" w:space="0"/>
            </w:tcBorders>
            <w:vAlign w:val="center"/>
          </w:tcPr>
          <w:p>
            <w:pPr>
              <w:widowControl/>
              <w:spacing w:line="360" w:lineRule="auto"/>
              <w:jc w:val="left"/>
              <w:rPr>
                <w:rFonts w:ascii="宋体" w:hAnsi="宋体" w:cs="宋体"/>
                <w:kern w:val="0"/>
                <w:sz w:val="24"/>
              </w:rPr>
            </w:pPr>
          </w:p>
        </w:tc>
        <w:tc>
          <w:tcPr>
            <w:tcW w:w="99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需求人数（人）</w:t>
            </w:r>
          </w:p>
        </w:tc>
        <w:tc>
          <w:tcPr>
            <w:tcW w:w="121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需求比重（</w:t>
            </w:r>
            <w:r>
              <w:rPr>
                <w:rFonts w:ascii="宋体" w:hAnsi="宋体" w:cs="宋体"/>
                <w:kern w:val="0"/>
                <w:sz w:val="24"/>
              </w:rPr>
              <w:t>%</w:t>
            </w:r>
            <w:r>
              <w:rPr>
                <w:rFonts w:hint="eastAsia" w:ascii="宋体" w:hAnsi="宋体" w:cs="宋体"/>
                <w:kern w:val="0"/>
                <w:sz w:val="24"/>
              </w:rPr>
              <w:t>）</w:t>
            </w:r>
          </w:p>
        </w:tc>
        <w:tc>
          <w:tcPr>
            <w:tcW w:w="91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求职人数（人）</w:t>
            </w:r>
          </w:p>
        </w:tc>
        <w:tc>
          <w:tcPr>
            <w:tcW w:w="120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求职比重（</w:t>
            </w:r>
            <w:r>
              <w:rPr>
                <w:rFonts w:ascii="宋体" w:hAnsi="宋体" w:cs="宋体"/>
                <w:kern w:val="0"/>
                <w:sz w:val="24"/>
              </w:rPr>
              <w:t>%</w:t>
            </w:r>
            <w:r>
              <w:rPr>
                <w:rFonts w:hint="eastAsia" w:ascii="宋体" w:hAnsi="宋体" w:cs="宋体"/>
                <w:kern w:val="0"/>
                <w:sz w:val="24"/>
              </w:rPr>
              <w:t>）</w:t>
            </w:r>
          </w:p>
        </w:tc>
        <w:tc>
          <w:tcPr>
            <w:tcW w:w="127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求人倍率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16-24岁</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13955</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28.40%</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13018</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31.69%</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1.07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25-34岁</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14589</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29.69%</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13369</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32.54%</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09</w:t>
            </w: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35-44岁</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14764</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30.05%</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13919</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33.88%</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1.0</w:t>
            </w: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45岁以上</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859</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1.75%</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776</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1.89%</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11</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无要求</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4972</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10.12%</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sz w:val="24"/>
                <w:lang w:val="en-US" w:eastAsia="zh-CN"/>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49139</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41082</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1.2</w:t>
            </w:r>
            <w:r>
              <w:rPr>
                <w:rFonts w:hint="eastAsia" w:ascii="宋体" w:hAnsi="宋体" w:cs="宋体"/>
                <w:i w:val="0"/>
                <w:iCs w:val="0"/>
                <w:color w:val="000000"/>
                <w:kern w:val="0"/>
                <w:sz w:val="22"/>
                <w:szCs w:val="22"/>
                <w:u w:val="none"/>
                <w:lang w:val="en-US" w:eastAsia="zh-CN" w:bidi="ar"/>
              </w:rPr>
              <w:t>0</w:t>
            </w:r>
            <w:r>
              <w:rPr>
                <w:rFonts w:hint="eastAsia" w:ascii="宋体" w:hAnsi="宋体" w:eastAsia="宋体" w:cs="宋体"/>
                <w:i w:val="0"/>
                <w:iCs w:val="0"/>
                <w:color w:val="000000"/>
                <w:kern w:val="0"/>
                <w:sz w:val="22"/>
                <w:szCs w:val="22"/>
                <w:u w:val="none"/>
                <w:lang w:val="en-US" w:eastAsia="zh-CN" w:bidi="ar"/>
              </w:rPr>
              <w:t xml:space="preserve"> </w:t>
            </w:r>
          </w:p>
        </w:tc>
      </w:tr>
    </w:tbl>
    <w:p>
      <w:pPr>
        <w:adjustRightInd w:val="0"/>
        <w:snapToGrid w:val="0"/>
        <w:spacing w:line="360" w:lineRule="auto"/>
        <w:rPr>
          <w:rFonts w:ascii="宋体" w:hAnsi="宋体"/>
          <w:color w:val="FF0000"/>
          <w:sz w:val="24"/>
        </w:rPr>
      </w:pPr>
    </w:p>
    <w:p>
      <w:pPr>
        <w:adjustRightInd w:val="0"/>
        <w:snapToGrid w:val="0"/>
        <w:spacing w:line="360" w:lineRule="auto"/>
        <w:ind w:firstLine="482" w:firstLineChars="200"/>
        <w:rPr>
          <w:rFonts w:ascii="宋体" w:hAnsi="宋体"/>
          <w:b/>
          <w:bCs/>
          <w:sz w:val="24"/>
        </w:rPr>
      </w:pPr>
      <w:r>
        <w:rPr>
          <w:rFonts w:hint="eastAsia" w:ascii="宋体" w:hAnsi="宋体"/>
          <w:b/>
          <w:bCs/>
          <w:sz w:val="24"/>
        </w:rPr>
        <w:t>2</w:t>
      </w:r>
      <w:r>
        <w:rPr>
          <w:rFonts w:hint="eastAsia" w:ascii="宋体" w:hAnsi="宋体"/>
          <w:b/>
          <w:bCs/>
          <w:sz w:val="24"/>
          <w:lang w:val="en-US" w:eastAsia="zh-CN"/>
        </w:rPr>
        <w:t>.</w:t>
      </w:r>
      <w:r>
        <w:rPr>
          <w:rFonts w:ascii="宋体" w:hAnsi="宋体"/>
          <w:b/>
          <w:bCs/>
          <w:sz w:val="24"/>
        </w:rPr>
        <w:t>文化程度</w:t>
      </w:r>
    </w:p>
    <w:p>
      <w:pPr>
        <w:adjustRightInd w:val="0"/>
        <w:snapToGrid w:val="0"/>
        <w:spacing w:line="360" w:lineRule="auto"/>
        <w:ind w:firstLine="480" w:firstLineChars="200"/>
        <w:rPr>
          <w:rFonts w:ascii="宋体" w:hAnsi="宋体"/>
          <w:sz w:val="24"/>
        </w:rPr>
      </w:pPr>
      <w:r>
        <w:rPr>
          <w:rFonts w:hint="eastAsia" w:ascii="宋体" w:hAnsi="宋体" w:cs="宋体"/>
          <w:kern w:val="0"/>
          <w:sz w:val="24"/>
        </w:rPr>
        <w:t>在需求人群中，</w:t>
      </w:r>
      <w:r>
        <w:rPr>
          <w:rFonts w:hint="eastAsia" w:ascii="宋体" w:hAnsi="宋体" w:cs="宋体"/>
          <w:kern w:val="0"/>
          <w:sz w:val="24"/>
          <w:lang w:eastAsia="zh-CN"/>
        </w:rPr>
        <w:t>第三季度</w:t>
      </w:r>
      <w:r>
        <w:rPr>
          <w:rFonts w:hint="eastAsia" w:ascii="宋体" w:hAnsi="宋体" w:cs="宋体"/>
          <w:kern w:val="0"/>
          <w:sz w:val="24"/>
        </w:rPr>
        <w:t>大专和高中</w:t>
      </w:r>
      <w:r>
        <w:rPr>
          <w:rFonts w:hint="eastAsia" w:ascii="宋体" w:hAnsi="宋体" w:cs="宋体"/>
          <w:kern w:val="0"/>
          <w:sz w:val="24"/>
          <w:lang w:eastAsia="zh-CN"/>
        </w:rPr>
        <w:t>仍然</w:t>
      </w:r>
      <w:r>
        <w:rPr>
          <w:rFonts w:hint="eastAsia" w:ascii="宋体" w:hAnsi="宋体" w:cs="宋体"/>
          <w:kern w:val="0"/>
          <w:sz w:val="24"/>
        </w:rPr>
        <w:t>是需求比重最大的，在求职人群中，也是</w:t>
      </w:r>
      <w:r>
        <w:rPr>
          <w:rFonts w:hint="eastAsia" w:ascii="宋体" w:hAnsi="宋体" w:cs="宋体"/>
          <w:kern w:val="0"/>
          <w:sz w:val="24"/>
          <w:lang w:val="en-US" w:eastAsia="zh-CN"/>
        </w:rPr>
        <w:t>大专</w:t>
      </w:r>
      <w:r>
        <w:rPr>
          <w:rFonts w:hint="eastAsia" w:ascii="宋体" w:hAnsi="宋体" w:cs="宋体"/>
          <w:kern w:val="0"/>
          <w:sz w:val="24"/>
        </w:rPr>
        <w:t>及</w:t>
      </w:r>
      <w:r>
        <w:rPr>
          <w:rFonts w:hint="eastAsia" w:ascii="宋体" w:hAnsi="宋体" w:cs="宋体"/>
          <w:kern w:val="0"/>
          <w:sz w:val="24"/>
          <w:lang w:val="en-US" w:eastAsia="zh-CN"/>
        </w:rPr>
        <w:t>高中</w:t>
      </w:r>
      <w:r>
        <w:rPr>
          <w:rFonts w:hint="eastAsia" w:ascii="宋体" w:hAnsi="宋体" w:cs="宋体"/>
          <w:kern w:val="0"/>
          <w:sz w:val="24"/>
        </w:rPr>
        <w:t>占了总求职的绝大多数。总体上讲，文化水平虽然在逐渐提高，但还是以</w:t>
      </w:r>
      <w:r>
        <w:rPr>
          <w:rFonts w:hint="eastAsia" w:ascii="宋体" w:hAnsi="宋体" w:cs="宋体"/>
          <w:kern w:val="0"/>
          <w:sz w:val="24"/>
          <w:lang w:val="en-US" w:eastAsia="zh-CN"/>
        </w:rPr>
        <w:t>大专</w:t>
      </w:r>
      <w:r>
        <w:rPr>
          <w:rFonts w:hint="eastAsia" w:ascii="宋体" w:hAnsi="宋体" w:cs="宋体"/>
          <w:kern w:val="0"/>
          <w:sz w:val="24"/>
        </w:rPr>
        <w:t>和</w:t>
      </w:r>
      <w:r>
        <w:rPr>
          <w:rFonts w:hint="eastAsia" w:ascii="宋体" w:hAnsi="宋体" w:cs="宋体"/>
          <w:kern w:val="0"/>
          <w:sz w:val="24"/>
          <w:lang w:val="en-US" w:eastAsia="zh-CN"/>
        </w:rPr>
        <w:t>高中</w:t>
      </w:r>
      <w:r>
        <w:rPr>
          <w:rFonts w:hint="eastAsia" w:ascii="宋体" w:hAnsi="宋体" w:cs="宋体"/>
          <w:kern w:val="0"/>
          <w:sz w:val="24"/>
        </w:rPr>
        <w:t>为主，高学历人才相对较少，本科比例为1</w:t>
      </w:r>
      <w:r>
        <w:rPr>
          <w:rFonts w:hint="eastAsia" w:ascii="宋体" w:hAnsi="宋体" w:cs="宋体"/>
          <w:kern w:val="0"/>
          <w:sz w:val="24"/>
          <w:lang w:val="en-US" w:eastAsia="zh-CN"/>
        </w:rPr>
        <w:t>7.31</w:t>
      </w:r>
      <w:r>
        <w:rPr>
          <w:rFonts w:hint="eastAsia" w:ascii="宋体" w:hAnsi="宋体" w:cs="宋体"/>
          <w:kern w:val="0"/>
          <w:sz w:val="24"/>
        </w:rPr>
        <w:t>%，硕士以上人员比例仅占0.3</w:t>
      </w:r>
      <w:r>
        <w:rPr>
          <w:rFonts w:hint="eastAsia" w:ascii="宋体" w:hAnsi="宋体" w:cs="宋体"/>
          <w:kern w:val="0"/>
          <w:sz w:val="24"/>
          <w:lang w:val="en-US" w:eastAsia="zh-CN"/>
        </w:rPr>
        <w:t>1</w:t>
      </w:r>
      <w:r>
        <w:rPr>
          <w:rFonts w:hint="eastAsia" w:ascii="宋体" w:hAnsi="宋体" w:cs="宋体"/>
          <w:kern w:val="0"/>
          <w:sz w:val="24"/>
        </w:rPr>
        <w:t xml:space="preserve">%。 </w:t>
      </w:r>
    </w:p>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表1</w:t>
      </w:r>
      <w:r>
        <w:rPr>
          <w:rFonts w:hint="eastAsia" w:ascii="宋体" w:hAnsi="宋体" w:cs="宋体"/>
          <w:kern w:val="0"/>
          <w:sz w:val="24"/>
          <w:lang w:val="en-US" w:eastAsia="zh-CN"/>
        </w:rPr>
        <w:t>0</w:t>
      </w:r>
      <w:r>
        <w:rPr>
          <w:rFonts w:hint="eastAsia" w:ascii="宋体" w:hAnsi="宋体" w:cs="宋体"/>
          <w:kern w:val="0"/>
          <w:sz w:val="24"/>
        </w:rPr>
        <w:t>. 按文化程度分组的供求人数</w:t>
      </w:r>
    </w:p>
    <w:tbl>
      <w:tblPr>
        <w:tblStyle w:val="8"/>
        <w:tblW w:w="8372"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307"/>
        <w:gridCol w:w="1135"/>
        <w:gridCol w:w="1077"/>
        <w:gridCol w:w="1259"/>
        <w:gridCol w:w="1797"/>
        <w:gridCol w:w="179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1307" w:type="dxa"/>
            <w:vMerge w:val="restart"/>
            <w:tcBorders>
              <w:top w:val="single" w:color="auto" w:sz="8" w:space="0"/>
              <w:left w:val="single" w:color="auto" w:sz="8" w:space="0"/>
              <w:bottom w:val="single" w:color="000000"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文化程度</w:t>
            </w:r>
          </w:p>
        </w:tc>
        <w:tc>
          <w:tcPr>
            <w:tcW w:w="7065"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劳动力供求人数比较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1307" w:type="dxa"/>
            <w:vMerge w:val="continue"/>
            <w:tcBorders>
              <w:top w:val="single" w:color="auto" w:sz="8" w:space="0"/>
              <w:left w:val="single" w:color="auto" w:sz="8" w:space="0"/>
              <w:bottom w:val="single" w:color="000000" w:sz="8" w:space="0"/>
              <w:right w:val="single" w:color="auto" w:sz="8" w:space="0"/>
            </w:tcBorders>
            <w:vAlign w:val="center"/>
          </w:tcPr>
          <w:p>
            <w:pPr>
              <w:widowControl/>
              <w:spacing w:line="360" w:lineRule="auto"/>
              <w:jc w:val="center"/>
              <w:rPr>
                <w:rFonts w:ascii="宋体" w:hAnsi="宋体" w:cs="宋体"/>
                <w:kern w:val="0"/>
                <w:sz w:val="24"/>
              </w:rPr>
            </w:pPr>
          </w:p>
        </w:tc>
        <w:tc>
          <w:tcPr>
            <w:tcW w:w="113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需求人数(人)</w:t>
            </w:r>
          </w:p>
        </w:tc>
        <w:tc>
          <w:tcPr>
            <w:tcW w:w="1077"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需求比重(%)</w:t>
            </w:r>
          </w:p>
        </w:tc>
        <w:tc>
          <w:tcPr>
            <w:tcW w:w="1259"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求职人数(人)</w:t>
            </w:r>
          </w:p>
        </w:tc>
        <w:tc>
          <w:tcPr>
            <w:tcW w:w="1797"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求职比重 (%)</w:t>
            </w:r>
          </w:p>
        </w:tc>
        <w:tc>
          <w:tcPr>
            <w:tcW w:w="1797"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求人倍率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15"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初中及以下</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4915</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4216</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10.26%</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1.17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1"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高中</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12681</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25.81%</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10702</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26.05%</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1.18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其中：职高、技校、中专</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5818</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11.84%</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4925</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11.99%</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1.18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大专</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22885</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46.57%</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18898</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46.00%</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1.21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3"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大学</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8504</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17.31%</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7141</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17.38%</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1.19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9"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硕士以上</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154</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0.31%</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125</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0.30%</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1.23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5"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无要求</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33"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49139</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41082</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1.20 </w:t>
            </w:r>
          </w:p>
        </w:tc>
      </w:tr>
    </w:tbl>
    <w:p>
      <w:pPr>
        <w:adjustRightInd w:val="0"/>
        <w:snapToGrid w:val="0"/>
        <w:spacing w:line="360" w:lineRule="auto"/>
        <w:rPr>
          <w:rFonts w:ascii="宋体" w:hAnsi="宋体"/>
          <w:color w:val="FF0000"/>
          <w:sz w:val="24"/>
        </w:rPr>
      </w:pPr>
    </w:p>
    <w:p>
      <w:pPr>
        <w:adjustRightInd w:val="0"/>
        <w:snapToGrid w:val="0"/>
        <w:spacing w:line="360" w:lineRule="auto"/>
        <w:ind w:firstLine="482" w:firstLineChars="200"/>
        <w:rPr>
          <w:rFonts w:ascii="宋体" w:hAnsi="宋体"/>
          <w:b/>
          <w:bCs/>
          <w:sz w:val="24"/>
        </w:rPr>
      </w:pPr>
      <w:r>
        <w:rPr>
          <w:rFonts w:hint="eastAsia" w:ascii="宋体" w:hAnsi="宋体"/>
          <w:b/>
          <w:bCs/>
          <w:sz w:val="24"/>
          <w:lang w:val="en-US" w:eastAsia="zh-CN"/>
        </w:rPr>
        <w:t>3.</w:t>
      </w:r>
      <w:r>
        <w:rPr>
          <w:rFonts w:ascii="宋体" w:hAnsi="宋体"/>
          <w:b/>
          <w:bCs/>
          <w:sz w:val="24"/>
        </w:rPr>
        <w:t>技术等级或职称</w:t>
      </w:r>
    </w:p>
    <w:p>
      <w:pPr>
        <w:adjustRightInd w:val="0"/>
        <w:snapToGrid w:val="0"/>
        <w:spacing w:line="360" w:lineRule="auto"/>
        <w:ind w:firstLine="480" w:firstLineChars="200"/>
        <w:jc w:val="left"/>
        <w:rPr>
          <w:rFonts w:ascii="宋体" w:hAnsi="宋体"/>
          <w:sz w:val="24"/>
        </w:rPr>
      </w:pPr>
      <w:r>
        <w:rPr>
          <w:rFonts w:hint="eastAsia" w:ascii="宋体" w:hAnsi="宋体"/>
          <w:sz w:val="24"/>
        </w:rPr>
        <w:t>按技术等级分类，</w:t>
      </w:r>
      <w:r>
        <w:rPr>
          <w:rFonts w:hint="eastAsia" w:ascii="宋体" w:hAnsi="宋体"/>
          <w:color w:val="auto"/>
          <w:sz w:val="24"/>
          <w:highlight w:val="none"/>
        </w:rPr>
        <w:t>需求中无要求的占</w:t>
      </w:r>
      <w:r>
        <w:rPr>
          <w:rFonts w:hint="eastAsia" w:ascii="宋体" w:hAnsi="宋体"/>
          <w:color w:val="auto"/>
          <w:sz w:val="24"/>
          <w:highlight w:val="none"/>
          <w:lang w:val="en-US" w:eastAsia="zh-CN"/>
        </w:rPr>
        <w:t>48.73</w:t>
      </w:r>
      <w:r>
        <w:rPr>
          <w:rFonts w:hint="eastAsia" w:ascii="宋体" w:hAnsi="宋体"/>
          <w:color w:val="auto"/>
          <w:sz w:val="24"/>
          <w:highlight w:val="none"/>
        </w:rPr>
        <w:t>%，求职者中无技术等级和职称的占</w:t>
      </w:r>
      <w:r>
        <w:rPr>
          <w:rFonts w:hint="eastAsia" w:ascii="宋体" w:hAnsi="宋体"/>
          <w:color w:val="auto"/>
          <w:sz w:val="24"/>
          <w:highlight w:val="none"/>
          <w:lang w:val="en-US" w:eastAsia="zh-CN"/>
        </w:rPr>
        <w:t>50.47</w:t>
      </w:r>
      <w:r>
        <w:rPr>
          <w:rFonts w:hint="eastAsia" w:ascii="宋体" w:hAnsi="宋体"/>
          <w:color w:val="auto"/>
          <w:sz w:val="24"/>
          <w:highlight w:val="none"/>
        </w:rPr>
        <w:t>%，</w:t>
      </w:r>
      <w:r>
        <w:rPr>
          <w:rFonts w:hint="eastAsia" w:ascii="宋体" w:hAnsi="宋体"/>
          <w:sz w:val="24"/>
        </w:rPr>
        <w:t>这两者仍然是需求和求职的主要构成部分，与去年同期相比，</w:t>
      </w:r>
      <w:r>
        <w:rPr>
          <w:rFonts w:ascii="宋体" w:hAnsi="宋体"/>
          <w:sz w:val="24"/>
        </w:rPr>
        <w:t>企业</w:t>
      </w:r>
      <w:r>
        <w:rPr>
          <w:rFonts w:hint="eastAsia" w:ascii="宋体" w:hAnsi="宋体"/>
          <w:sz w:val="24"/>
        </w:rPr>
        <w:t>对于有高技能的人才需要略有增加，而求职者中有职业资格专业技术的比例也逐年上升。</w:t>
      </w:r>
    </w:p>
    <w:p>
      <w:pPr>
        <w:adjustRightInd w:val="0"/>
        <w:snapToGrid w:val="0"/>
        <w:spacing w:line="360" w:lineRule="auto"/>
        <w:jc w:val="center"/>
        <w:rPr>
          <w:rFonts w:ascii="宋体" w:hAnsi="宋体"/>
          <w:sz w:val="24"/>
        </w:rPr>
      </w:pPr>
      <w:r>
        <w:rPr>
          <w:rFonts w:hint="eastAsia" w:ascii="宋体" w:hAnsi="宋体"/>
          <w:sz w:val="24"/>
        </w:rPr>
        <w:t>表1</w:t>
      </w:r>
      <w:r>
        <w:rPr>
          <w:rFonts w:hint="eastAsia" w:ascii="宋体" w:hAnsi="宋体"/>
          <w:sz w:val="24"/>
          <w:lang w:val="en-US" w:eastAsia="zh-CN"/>
        </w:rPr>
        <w:t>1.</w:t>
      </w:r>
      <w:r>
        <w:rPr>
          <w:rFonts w:ascii="宋体" w:hAnsi="宋体"/>
          <w:sz w:val="24"/>
        </w:rPr>
        <w:t>按技术等级分组的供求人数</w:t>
      </w:r>
    </w:p>
    <w:tbl>
      <w:tblPr>
        <w:tblStyle w:val="8"/>
        <w:tblW w:w="746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2301"/>
        <w:gridCol w:w="840"/>
        <w:gridCol w:w="1095"/>
        <w:gridCol w:w="990"/>
        <w:gridCol w:w="1305"/>
        <w:gridCol w:w="93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jc w:val="center"/>
        </w:trPr>
        <w:tc>
          <w:tcPr>
            <w:tcW w:w="2301" w:type="dxa"/>
            <w:vMerge w:val="restart"/>
            <w:tcBorders>
              <w:top w:val="single" w:color="auto" w:sz="8" w:space="0"/>
              <w:left w:val="single" w:color="auto" w:sz="8" w:space="0"/>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技术等级</w:t>
            </w:r>
          </w:p>
        </w:tc>
        <w:tc>
          <w:tcPr>
            <w:tcW w:w="5160"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劳动力供求人数比较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jc w:val="center"/>
        </w:trPr>
        <w:tc>
          <w:tcPr>
            <w:tcW w:w="2301" w:type="dxa"/>
            <w:vMerge w:val="continue"/>
            <w:tcBorders>
              <w:top w:val="single" w:color="auto" w:sz="8" w:space="0"/>
              <w:left w:val="single" w:color="auto" w:sz="8" w:space="0"/>
              <w:bottom w:val="single" w:color="auto" w:sz="8" w:space="0"/>
              <w:right w:val="single" w:color="auto" w:sz="8" w:space="0"/>
            </w:tcBorders>
            <w:vAlign w:val="center"/>
          </w:tcPr>
          <w:p>
            <w:pPr>
              <w:widowControl/>
              <w:spacing w:line="360" w:lineRule="auto"/>
              <w:jc w:val="left"/>
              <w:rPr>
                <w:rFonts w:ascii="宋体" w:hAnsi="宋体" w:cs="宋体"/>
                <w:kern w:val="0"/>
                <w:sz w:val="24"/>
              </w:rPr>
            </w:pPr>
          </w:p>
        </w:tc>
        <w:tc>
          <w:tcPr>
            <w:tcW w:w="84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需求人数（人）</w:t>
            </w:r>
          </w:p>
        </w:tc>
        <w:tc>
          <w:tcPr>
            <w:tcW w:w="109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需求比重（</w:t>
            </w:r>
            <w:r>
              <w:rPr>
                <w:rFonts w:ascii="宋体" w:hAnsi="宋体" w:cs="宋体"/>
                <w:kern w:val="0"/>
                <w:sz w:val="24"/>
              </w:rPr>
              <w:t>%</w:t>
            </w:r>
            <w:r>
              <w:rPr>
                <w:rFonts w:hint="eastAsia" w:ascii="宋体" w:hAnsi="宋体" w:cs="宋体"/>
                <w:kern w:val="0"/>
                <w:sz w:val="24"/>
              </w:rPr>
              <w:t>）</w:t>
            </w:r>
          </w:p>
        </w:tc>
        <w:tc>
          <w:tcPr>
            <w:tcW w:w="99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求职人数（人）</w:t>
            </w:r>
          </w:p>
        </w:tc>
        <w:tc>
          <w:tcPr>
            <w:tcW w:w="130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求职比重（</w:t>
            </w:r>
            <w:r>
              <w:rPr>
                <w:rFonts w:ascii="宋体" w:hAnsi="宋体" w:cs="宋体"/>
                <w:kern w:val="0"/>
                <w:sz w:val="24"/>
              </w:rPr>
              <w:t>%</w:t>
            </w:r>
            <w:r>
              <w:rPr>
                <w:rFonts w:hint="eastAsia" w:ascii="宋体" w:hAnsi="宋体" w:cs="宋体"/>
                <w:kern w:val="0"/>
                <w:sz w:val="24"/>
              </w:rPr>
              <w:t>）</w:t>
            </w:r>
          </w:p>
        </w:tc>
        <w:tc>
          <w:tcPr>
            <w:tcW w:w="93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第三季度</w:t>
            </w:r>
            <w:r>
              <w:rPr>
                <w:rFonts w:hint="eastAsia" w:ascii="宋体" w:hAnsi="宋体" w:cs="宋体"/>
                <w:kern w:val="0"/>
                <w:sz w:val="24"/>
              </w:rPr>
              <w:t>求人倍率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职业资格五级</w:t>
            </w:r>
          </w:p>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(初级技能)</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18470</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37.59%</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14851</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36.15%</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1.24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职业资格四级</w:t>
            </w:r>
          </w:p>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(中级技能)</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3383</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6.88%</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2680</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6.52%</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1.26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职业资格三级</w:t>
            </w:r>
          </w:p>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(高级技能)</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1242</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2.53%</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1023</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2.49%</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1.21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职业资格二级(技师)</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415</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0.84%</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365</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0.89%</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1.14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职业资格一级(高级技师)</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170</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0.35%</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163</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0.40%</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1.04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初级专业技术职务</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999</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2.03%</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837</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2.04%</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1.19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中级专业技术职务</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448</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0.91%</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372</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0.91%</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1.20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高级专业技术职务</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68</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0.14%</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55</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0.13%</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1.24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无技术等级或职称</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20736</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50.47%</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无要求</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23944</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48.73%</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49139</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41082</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1.20 </w:t>
            </w:r>
          </w:p>
        </w:tc>
      </w:tr>
    </w:tbl>
    <w:p>
      <w:pPr>
        <w:adjustRightInd w:val="0"/>
        <w:snapToGrid w:val="0"/>
        <w:spacing w:line="360" w:lineRule="auto"/>
        <w:jc w:val="left"/>
        <w:rPr>
          <w:rFonts w:ascii="宋体" w:hAnsi="宋体"/>
          <w:sz w:val="24"/>
          <w:highlight w:val="yellow"/>
        </w:rPr>
      </w:pPr>
    </w:p>
    <w:p>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b/>
          <w:sz w:val="24"/>
        </w:rPr>
      </w:pPr>
      <w:r>
        <w:rPr>
          <w:rFonts w:hint="eastAsia" w:ascii="宋体" w:hAnsi="宋体"/>
          <w:sz w:val="24"/>
        </w:rPr>
        <w:t>三、</w:t>
      </w:r>
      <w:r>
        <w:rPr>
          <w:rFonts w:hint="eastAsia" w:ascii="宋体" w:hAnsi="宋体"/>
          <w:b/>
          <w:sz w:val="24"/>
          <w:lang w:val="en-US" w:eastAsia="zh-CN"/>
        </w:rPr>
        <w:t>2023年第三季度人</w:t>
      </w:r>
      <w:r>
        <w:rPr>
          <w:rFonts w:hint="eastAsia" w:ascii="宋体" w:hAnsi="宋体"/>
          <w:b/>
          <w:sz w:val="24"/>
        </w:rPr>
        <w:t>力资源市场运行状况和特点及应对措施</w:t>
      </w:r>
    </w:p>
    <w:p>
      <w:pPr>
        <w:keepNext w:val="0"/>
        <w:keepLines w:val="0"/>
        <w:pageBreakBefore w:val="0"/>
        <w:kinsoku/>
        <w:wordWrap/>
        <w:overflowPunct/>
        <w:topLinePunct w:val="0"/>
        <w:autoSpaceDE/>
        <w:autoSpaceDN/>
        <w:bidi w:val="0"/>
        <w:adjustRightInd w:val="0"/>
        <w:snapToGrid w:val="0"/>
        <w:spacing w:line="360" w:lineRule="auto"/>
        <w:ind w:firstLine="482" w:firstLineChars="200"/>
        <w:jc w:val="left"/>
        <w:textAlignment w:val="auto"/>
        <w:rPr>
          <w:rFonts w:ascii="宋体" w:hAnsi="宋体"/>
          <w:b/>
          <w:sz w:val="24"/>
        </w:rPr>
      </w:pPr>
      <w:r>
        <w:rPr>
          <w:rFonts w:hint="eastAsia" w:ascii="宋体" w:hAnsi="宋体"/>
          <w:b/>
          <w:sz w:val="24"/>
        </w:rPr>
        <w:t>（一）</w:t>
      </w:r>
      <w:r>
        <w:rPr>
          <w:rFonts w:hint="eastAsia" w:ascii="宋体" w:hAnsi="宋体"/>
          <w:b/>
          <w:sz w:val="24"/>
          <w:lang w:val="en-US" w:eastAsia="zh-CN"/>
        </w:rPr>
        <w:t>第三季度人力资源</w:t>
      </w:r>
      <w:r>
        <w:rPr>
          <w:rFonts w:hint="eastAsia" w:ascii="宋体" w:hAnsi="宋体"/>
          <w:b/>
          <w:sz w:val="24"/>
        </w:rPr>
        <w:t>市场运行状况和特点</w:t>
      </w:r>
    </w:p>
    <w:p>
      <w:pPr>
        <w:keepNext w:val="0"/>
        <w:keepLines w:val="0"/>
        <w:pageBreakBefore w:val="0"/>
        <w:kinsoku/>
        <w:wordWrap/>
        <w:overflowPunct/>
        <w:topLinePunct w:val="0"/>
        <w:autoSpaceDE/>
        <w:autoSpaceDN/>
        <w:bidi w:val="0"/>
        <w:adjustRightInd w:val="0"/>
        <w:snapToGrid w:val="0"/>
        <w:spacing w:line="360" w:lineRule="auto"/>
        <w:ind w:firstLine="420"/>
        <w:jc w:val="left"/>
        <w:textAlignment w:val="auto"/>
        <w:rPr>
          <w:rFonts w:ascii="宋体" w:hAnsi="宋体"/>
          <w:sz w:val="24"/>
        </w:rPr>
      </w:pPr>
      <w:r>
        <w:rPr>
          <w:rFonts w:hint="eastAsia" w:ascii="宋体" w:hAnsi="宋体"/>
          <w:sz w:val="24"/>
          <w:lang w:eastAsia="zh-CN"/>
        </w:rPr>
        <w:t>第三季度</w:t>
      </w:r>
      <w:r>
        <w:rPr>
          <w:rFonts w:hint="eastAsia" w:ascii="宋体" w:hAnsi="宋体"/>
          <w:sz w:val="24"/>
        </w:rPr>
        <w:t>需求数为</w:t>
      </w:r>
      <w:r>
        <w:rPr>
          <w:rFonts w:hint="eastAsia" w:ascii="宋体" w:hAnsi="宋体"/>
          <w:sz w:val="24"/>
          <w:lang w:val="en-US" w:eastAsia="zh-CN"/>
        </w:rPr>
        <w:t>49139</w:t>
      </w:r>
      <w:r>
        <w:rPr>
          <w:rFonts w:hint="eastAsia" w:ascii="宋体" w:hAnsi="宋体"/>
          <w:sz w:val="24"/>
        </w:rPr>
        <w:t>人，求职数为</w:t>
      </w:r>
      <w:r>
        <w:rPr>
          <w:rFonts w:hint="eastAsia" w:ascii="宋体" w:hAnsi="宋体"/>
          <w:sz w:val="24"/>
          <w:lang w:val="en-US" w:eastAsia="zh-CN"/>
        </w:rPr>
        <w:t>41082</w:t>
      </w:r>
      <w:r>
        <w:rPr>
          <w:rFonts w:hint="eastAsia" w:ascii="宋体" w:hAnsi="宋体"/>
          <w:sz w:val="24"/>
        </w:rPr>
        <w:t>人，求人倍率为1.2</w:t>
      </w:r>
      <w:r>
        <w:rPr>
          <w:rFonts w:hint="eastAsia" w:ascii="宋体" w:hAnsi="宋体"/>
          <w:sz w:val="24"/>
          <w:lang w:val="en-US" w:eastAsia="zh-CN"/>
        </w:rPr>
        <w:t>0</w:t>
      </w:r>
      <w:r>
        <w:rPr>
          <w:rFonts w:hint="eastAsia" w:ascii="宋体" w:hAnsi="宋体"/>
          <w:sz w:val="24"/>
        </w:rPr>
        <w:t>，求人倍率</w:t>
      </w:r>
      <w:r>
        <w:rPr>
          <w:rFonts w:hint="eastAsia" w:ascii="宋体" w:hAnsi="宋体"/>
          <w:sz w:val="24"/>
          <w:lang w:val="en-US" w:eastAsia="zh-CN"/>
        </w:rPr>
        <w:t>比今年第二季度略有下降</w:t>
      </w:r>
      <w:r>
        <w:rPr>
          <w:rFonts w:hint="eastAsia" w:ascii="宋体" w:hAnsi="宋体"/>
          <w:sz w:val="24"/>
        </w:rPr>
        <w:t>。</w:t>
      </w:r>
      <w:r>
        <w:rPr>
          <w:rFonts w:hint="eastAsia" w:ascii="宋体" w:hAnsi="宋体"/>
          <w:sz w:val="24"/>
          <w:lang w:val="en-US" w:eastAsia="zh-CN"/>
        </w:rPr>
        <w:t>与去年同期相比</w:t>
      </w:r>
      <w:r>
        <w:rPr>
          <w:rFonts w:hint="eastAsia" w:ascii="宋体" w:hAnsi="宋体"/>
          <w:sz w:val="24"/>
        </w:rPr>
        <w:t>，</w:t>
      </w:r>
      <w:r>
        <w:rPr>
          <w:rFonts w:hint="eastAsia" w:ascii="宋体" w:hAnsi="宋体"/>
          <w:sz w:val="24"/>
          <w:lang w:val="en-US" w:eastAsia="zh-CN"/>
        </w:rPr>
        <w:t>企业需求人数和求职人数都有所增加，</w:t>
      </w:r>
      <w:r>
        <w:rPr>
          <w:rFonts w:hint="eastAsia" w:ascii="宋体" w:hAnsi="宋体"/>
          <w:sz w:val="24"/>
        </w:rPr>
        <w:t>企业一线操作工缺口还比较大</w:t>
      </w:r>
      <w:r>
        <w:rPr>
          <w:rFonts w:hint="eastAsia" w:ascii="宋体" w:hAnsi="宋体"/>
          <w:sz w:val="24"/>
          <w:lang w:eastAsia="zh-CN"/>
        </w:rPr>
        <w:t>，</w:t>
      </w:r>
      <w:r>
        <w:rPr>
          <w:rFonts w:hint="eastAsia" w:ascii="宋体" w:hAnsi="宋体"/>
          <w:sz w:val="24"/>
          <w:lang w:val="en-US" w:eastAsia="zh-CN"/>
        </w:rPr>
        <w:t>企业招工还存在着一些问题</w:t>
      </w:r>
      <w:r>
        <w:rPr>
          <w:rFonts w:hint="eastAsia" w:ascii="宋体" w:hAnsi="宋体"/>
          <w:sz w:val="24"/>
        </w:rPr>
        <w:t>。</w:t>
      </w:r>
    </w:p>
    <w:p>
      <w:pPr>
        <w:keepNext w:val="0"/>
        <w:keepLines w:val="0"/>
        <w:pageBreakBefore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b/>
          <w:sz w:val="24"/>
          <w:lang w:val="en-US" w:eastAsia="zh-CN"/>
        </w:rPr>
      </w:pPr>
      <w:r>
        <w:rPr>
          <w:rFonts w:hint="eastAsia" w:ascii="宋体" w:hAnsi="宋体"/>
          <w:b/>
          <w:sz w:val="24"/>
        </w:rPr>
        <w:t>（二）招工难的原因分析</w:t>
      </w:r>
    </w:p>
    <w:p>
      <w:pPr>
        <w:keepNext w:val="0"/>
        <w:keepLines w:val="0"/>
        <w:pageBreakBefore w:val="0"/>
        <w:kinsoku/>
        <w:wordWrap/>
        <w:overflowPunct/>
        <w:topLinePunct w:val="0"/>
        <w:autoSpaceDE/>
        <w:autoSpaceDN/>
        <w:bidi w:val="0"/>
        <w:spacing w:line="360" w:lineRule="auto"/>
        <w:ind w:firstLine="482" w:firstLineChars="200"/>
        <w:textAlignment w:val="auto"/>
        <w:rPr>
          <w:rFonts w:hint="eastAsia" w:ascii="宋体" w:hAnsi="宋体" w:eastAsia="宋体"/>
          <w:sz w:val="24"/>
          <w:lang w:eastAsia="zh-CN"/>
        </w:rPr>
      </w:pPr>
      <w:r>
        <w:rPr>
          <w:rFonts w:hint="eastAsia" w:ascii="宋体" w:hAnsi="宋体"/>
          <w:b/>
          <w:sz w:val="24"/>
          <w:lang w:val="en-US" w:eastAsia="zh-CN"/>
        </w:rPr>
        <w:t>1.</w:t>
      </w:r>
      <w:r>
        <w:rPr>
          <w:rFonts w:hint="eastAsia" w:ascii="宋体" w:hAnsi="宋体"/>
          <w:sz w:val="24"/>
        </w:rPr>
        <w:t>个别传统制造业，工作环境差，多存在加班、“倒班”现象，在原有职工年龄逐渐变大，特别是退休后，招用年轻人难度大，出现一定程度“青黄不接”现象</w:t>
      </w:r>
      <w:r>
        <w:rPr>
          <w:rFonts w:hint="eastAsia" w:ascii="宋体" w:hAnsi="宋体"/>
          <w:sz w:val="24"/>
          <w:lang w:eastAsia="zh-CN"/>
        </w:rPr>
        <w:t>；</w:t>
      </w:r>
    </w:p>
    <w:p>
      <w:pPr>
        <w:keepNext w:val="0"/>
        <w:keepLines w:val="0"/>
        <w:pageBreakBefore w:val="0"/>
        <w:numPr>
          <w:ilvl w:val="0"/>
          <w:numId w:val="0"/>
        </w:numPr>
        <w:kinsoku/>
        <w:wordWrap/>
        <w:overflowPunct/>
        <w:topLinePunct w:val="0"/>
        <w:autoSpaceDE/>
        <w:autoSpaceDN/>
        <w:bidi w:val="0"/>
        <w:spacing w:line="360" w:lineRule="auto"/>
        <w:ind w:firstLine="482" w:firstLineChars="200"/>
        <w:textAlignment w:val="auto"/>
        <w:rPr>
          <w:rFonts w:hint="eastAsia" w:ascii="宋体" w:hAnsi="宋体"/>
          <w:sz w:val="24"/>
        </w:rPr>
      </w:pPr>
      <w:r>
        <w:rPr>
          <w:rFonts w:hint="eastAsia" w:ascii="宋体" w:hAnsi="宋体"/>
          <w:b/>
          <w:sz w:val="24"/>
          <w:lang w:val="en-US" w:eastAsia="zh-CN"/>
        </w:rPr>
        <w:t>2.</w:t>
      </w:r>
      <w:r>
        <w:rPr>
          <w:rFonts w:hint="eastAsia" w:ascii="宋体" w:hAnsi="宋体"/>
          <w:sz w:val="24"/>
        </w:rPr>
        <w:t>薪资待遇相对较新兴行业企业，大企业低</w:t>
      </w:r>
      <w:r>
        <w:rPr>
          <w:rFonts w:hint="eastAsia" w:ascii="宋体" w:hAnsi="宋体"/>
          <w:sz w:val="24"/>
          <w:lang w:eastAsia="zh-CN"/>
        </w:rPr>
        <w:t>；</w:t>
      </w:r>
    </w:p>
    <w:p>
      <w:pPr>
        <w:keepNext w:val="0"/>
        <w:keepLines w:val="0"/>
        <w:pageBreakBefore w:val="0"/>
        <w:numPr>
          <w:ilvl w:val="0"/>
          <w:numId w:val="0"/>
        </w:numPr>
        <w:kinsoku/>
        <w:wordWrap/>
        <w:overflowPunct/>
        <w:topLinePunct w:val="0"/>
        <w:autoSpaceDE/>
        <w:autoSpaceDN/>
        <w:bidi w:val="0"/>
        <w:spacing w:line="360" w:lineRule="auto"/>
        <w:ind w:firstLine="482" w:firstLineChars="200"/>
        <w:textAlignment w:val="auto"/>
        <w:rPr>
          <w:rFonts w:hint="eastAsia" w:ascii="仿宋_GB2312" w:hAnsi="仿宋" w:eastAsia="仿宋_GB2312"/>
          <w:sz w:val="30"/>
          <w:szCs w:val="30"/>
        </w:rPr>
      </w:pPr>
      <w:r>
        <w:rPr>
          <w:rFonts w:hint="eastAsia" w:ascii="宋体" w:hAnsi="宋体"/>
          <w:b/>
          <w:sz w:val="24"/>
          <w:lang w:val="en-US" w:eastAsia="zh-CN"/>
        </w:rPr>
        <w:t>3.</w:t>
      </w:r>
      <w:r>
        <w:rPr>
          <w:rFonts w:hint="eastAsia" w:ascii="宋体" w:hAnsi="宋体"/>
          <w:sz w:val="24"/>
        </w:rPr>
        <w:t>新业态就业对传统制造业带来一定冲击，相比较而言，新业态在薪酬待遇、工作灵活度、工作时长等求职者吸引力较大</w:t>
      </w:r>
      <w:r>
        <w:rPr>
          <w:rFonts w:hint="eastAsia" w:ascii="宋体" w:hAnsi="宋体"/>
          <w:sz w:val="24"/>
          <w:lang w:eastAsia="zh-CN"/>
        </w:rPr>
        <w:t>；</w:t>
      </w:r>
    </w:p>
    <w:p>
      <w:pPr>
        <w:keepNext w:val="0"/>
        <w:keepLines w:val="0"/>
        <w:pageBreakBefore w:val="0"/>
        <w:numPr>
          <w:ilvl w:val="0"/>
          <w:numId w:val="0"/>
        </w:numPr>
        <w:kinsoku/>
        <w:wordWrap/>
        <w:overflowPunct/>
        <w:topLinePunct w:val="0"/>
        <w:autoSpaceDE/>
        <w:autoSpaceDN/>
        <w:bidi w:val="0"/>
        <w:spacing w:line="360" w:lineRule="auto"/>
        <w:ind w:firstLine="482" w:firstLineChars="200"/>
        <w:textAlignment w:val="auto"/>
        <w:rPr>
          <w:rFonts w:hint="eastAsia" w:ascii="宋体" w:hAnsi="宋体" w:eastAsia="宋体"/>
          <w:sz w:val="24"/>
          <w:lang w:val="en-US" w:eastAsia="zh-CN"/>
        </w:rPr>
      </w:pPr>
      <w:r>
        <w:rPr>
          <w:rFonts w:hint="eastAsia" w:ascii="宋体" w:hAnsi="宋体"/>
          <w:b/>
          <w:sz w:val="24"/>
          <w:lang w:val="en-US" w:eastAsia="zh-CN"/>
        </w:rPr>
        <w:t>4.</w:t>
      </w:r>
      <w:r>
        <w:rPr>
          <w:rFonts w:hint="eastAsia" w:ascii="宋体" w:hAnsi="宋体"/>
          <w:sz w:val="24"/>
        </w:rPr>
        <w:t>随着中西部地区、苏北及周边安徽、山东等地经济快速发展，部分工人回流</w:t>
      </w:r>
      <w:r>
        <w:rPr>
          <w:rFonts w:hint="eastAsia" w:ascii="宋体" w:hAnsi="宋体"/>
          <w:sz w:val="24"/>
          <w:lang w:eastAsia="zh-CN"/>
        </w:rPr>
        <w:t>。</w:t>
      </w:r>
    </w:p>
    <w:p>
      <w:pPr>
        <w:pStyle w:val="20"/>
        <w:keepNext w:val="0"/>
        <w:keepLines w:val="0"/>
        <w:pageBreakBefore w:val="0"/>
        <w:numPr>
          <w:ilvl w:val="0"/>
          <w:numId w:val="0"/>
        </w:numPr>
        <w:kinsoku/>
        <w:wordWrap/>
        <w:overflowPunct/>
        <w:topLinePunct w:val="0"/>
        <w:autoSpaceDE/>
        <w:autoSpaceDN/>
        <w:bidi w:val="0"/>
        <w:spacing w:line="360" w:lineRule="auto"/>
        <w:ind w:leftChars="0" w:firstLine="482" w:firstLineChars="200"/>
        <w:textAlignment w:val="auto"/>
        <w:rPr>
          <w:rFonts w:ascii="宋体" w:hAnsi="宋体"/>
          <w:b/>
          <w:sz w:val="24"/>
        </w:rPr>
      </w:pPr>
      <w:r>
        <w:rPr>
          <w:rFonts w:hint="eastAsia" w:ascii="宋体" w:hAnsi="宋体"/>
          <w:b/>
          <w:sz w:val="24"/>
          <w:lang w:val="en-US" w:eastAsia="zh-CN"/>
        </w:rPr>
        <w:t>（三）</w:t>
      </w:r>
      <w:r>
        <w:rPr>
          <w:rFonts w:hint="eastAsia" w:ascii="宋体" w:hAnsi="宋体"/>
          <w:b/>
          <w:sz w:val="24"/>
        </w:rPr>
        <w:t>针对以上情况，我市采取了积极的应对措施</w:t>
      </w:r>
    </w:p>
    <w:p>
      <w:pPr>
        <w:keepNext w:val="0"/>
        <w:keepLines w:val="0"/>
        <w:pageBreakBefore w:val="0"/>
        <w:kinsoku/>
        <w:wordWrap/>
        <w:overflowPunct/>
        <w:topLinePunct w:val="0"/>
        <w:autoSpaceDE/>
        <w:autoSpaceDN/>
        <w:bidi w:val="0"/>
        <w:adjustRightInd w:val="0"/>
        <w:snapToGrid w:val="0"/>
        <w:spacing w:line="360" w:lineRule="auto"/>
        <w:ind w:firstLine="482" w:firstLineChars="200"/>
        <w:jc w:val="left"/>
        <w:textAlignment w:val="auto"/>
        <w:rPr>
          <w:rFonts w:hint="default" w:ascii="宋体" w:hAnsi="宋体" w:eastAsia="宋体" w:cs="宋体"/>
          <w:b/>
          <w:bCs/>
          <w:kern w:val="44"/>
          <w:sz w:val="24"/>
          <w:szCs w:val="48"/>
          <w:lang w:val="en-US" w:eastAsia="zh-CN" w:bidi="ar"/>
        </w:rPr>
      </w:pPr>
      <w:r>
        <w:rPr>
          <w:rFonts w:hint="eastAsia" w:ascii="宋体" w:hAnsi="宋体"/>
          <w:b/>
          <w:sz w:val="24"/>
          <w:lang w:val="en-US" w:eastAsia="zh-CN"/>
        </w:rPr>
        <w:t>1.</w:t>
      </w:r>
      <w:r>
        <w:rPr>
          <w:rFonts w:hint="eastAsia" w:ascii="宋体" w:hAnsi="宋体" w:cs="宋体"/>
          <w:b/>
          <w:bCs/>
          <w:kern w:val="44"/>
          <w:sz w:val="24"/>
          <w:szCs w:val="48"/>
          <w:lang w:val="en-US" w:eastAsia="zh-CN" w:bidi="ar"/>
        </w:rPr>
        <w:t>赴全国65所院校招才引智</w:t>
      </w:r>
    </w:p>
    <w:p>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hint="default" w:ascii="宋体" w:hAnsi="宋体"/>
          <w:sz w:val="24"/>
          <w:lang w:val="en-US" w:eastAsia="zh-CN"/>
        </w:rPr>
      </w:pPr>
      <w:r>
        <w:rPr>
          <w:rFonts w:hint="eastAsia" w:ascii="宋体" w:hAnsi="宋体"/>
          <w:sz w:val="24"/>
        </w:rPr>
        <w:t>自9月我市首列“校园引才专列”启动以来，市人社部门牢牢把握秋季招聘的“关键期”“黄金期”，短短半个月时间，已先后开展了徐州线、湖北线、陕西线、甘宁线等5条校园引才路线，收到来自20余所院校学生投递的简历5320份，活动受到高校、毕业生和企业的一致好评，也更好地满足了我市企业对专业人才、技能人才等多元人才的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482" w:firstLineChars="200"/>
        <w:rPr>
          <w:rFonts w:hint="eastAsia"/>
          <w:b/>
          <w:sz w:val="24"/>
          <w:lang w:val="en-US" w:eastAsia="zh-CN"/>
        </w:rPr>
      </w:pPr>
      <w:r>
        <w:rPr>
          <w:rFonts w:hint="eastAsia"/>
          <w:b/>
          <w:sz w:val="24"/>
          <w:lang w:val="en-US" w:eastAsia="zh-CN"/>
        </w:rPr>
        <w:t>2.启动2023年“莘莘学子看港城”暨“名校进名企”活动</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宋体" w:hAnsi="宋体"/>
          <w:sz w:val="24"/>
          <w:lang w:val="en-US" w:eastAsia="zh-CN"/>
        </w:rPr>
      </w:pPr>
      <w:r>
        <w:rPr>
          <w:rFonts w:hint="eastAsia" w:ascii="宋体" w:hAnsi="宋体"/>
          <w:sz w:val="24"/>
          <w:lang w:val="en-US" w:eastAsia="zh-CN"/>
        </w:rPr>
        <w:t>“莘莘学子看港城”活动始于2016年，每年邀请全国各大高校师生代表通过实地走访、参观交流等方式，进一步加深省内外高校学子对我市经济社会发展情况的了解，为高校与我市企业开展深度合作搭建平台。多年来，张家港市通过活动不断扩大在知名高校的影响力、吸引力，充分展示张家港市企业的实力及发展潜力，企业录用参会高校的毕业生人数持续上升。今年，仅沙钢集团、永卓控股、广大特材、新美星、光束汽车等五家企业就提供了3640个岗位。下一步，我市将持续做亮“才遇港城共未来”引才品牌，围绕八条重点产业链，全面推进经济体系、产业体系、人才发展体系高质量转型，不断推进校政企三方合作走深走实，共同谱写校政企合作的生动篇章。</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2" w:firstLineChars="200"/>
        <w:jc w:val="both"/>
        <w:textAlignment w:val="auto"/>
        <w:outlineLvl w:val="0"/>
        <w:rPr>
          <w:rFonts w:hint="eastAsia" w:ascii="Times New Roman" w:hAnsi="Times New Roman" w:eastAsia="宋体" w:cs="Times New Roman"/>
          <w:b/>
          <w:bCs w:val="0"/>
          <w:kern w:val="0"/>
          <w:sz w:val="24"/>
          <w:szCs w:val="24"/>
          <w:lang w:val="en-US" w:eastAsia="zh-CN" w:bidi="ar"/>
        </w:rPr>
      </w:pPr>
      <w:r>
        <w:rPr>
          <w:rFonts w:hint="eastAsia" w:ascii="Times New Roman" w:hAnsi="Times New Roman" w:eastAsia="宋体" w:cs="Times New Roman"/>
          <w:b/>
          <w:bCs w:val="0"/>
          <w:kern w:val="0"/>
          <w:sz w:val="24"/>
          <w:szCs w:val="24"/>
          <w:lang w:val="en-US" w:eastAsia="zh-CN" w:bidi="ar"/>
        </w:rPr>
        <w:t>3.</w:t>
      </w:r>
      <w:r>
        <w:rPr>
          <w:rFonts w:hint="eastAsia" w:ascii="Times New Roman" w:hAnsi="Times New Roman" w:cs="Times New Roman"/>
          <w:b/>
          <w:bCs w:val="0"/>
          <w:kern w:val="0"/>
          <w:sz w:val="24"/>
          <w:szCs w:val="24"/>
          <w:lang w:val="en-US" w:eastAsia="zh-CN" w:bidi="ar"/>
        </w:rPr>
        <w:t>发布</w:t>
      </w:r>
      <w:r>
        <w:rPr>
          <w:rFonts w:hint="eastAsia"/>
          <w:b/>
          <w:sz w:val="24"/>
          <w:lang w:val="en-US" w:eastAsia="zh-CN"/>
        </w:rPr>
        <w:t>“智汇港城”引才合作全球伙伴计划</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outlineLvl w:val="0"/>
        <w:rPr>
          <w:rFonts w:hint="eastAsia" w:ascii="宋体" w:hAnsi="宋体" w:eastAsia="宋体" w:cs="Times New Roman"/>
          <w:b w:val="0"/>
          <w:bCs w:val="0"/>
          <w:kern w:val="2"/>
          <w:sz w:val="24"/>
          <w:szCs w:val="24"/>
          <w:lang w:val="en-US" w:eastAsia="zh-CN" w:bidi="ar-SA"/>
        </w:rPr>
      </w:pPr>
      <w:r>
        <w:rPr>
          <w:rFonts w:hint="eastAsia" w:ascii="宋体" w:hAnsi="宋体" w:eastAsia="宋体" w:cs="Times New Roman"/>
          <w:b w:val="0"/>
          <w:bCs w:val="0"/>
          <w:kern w:val="2"/>
          <w:sz w:val="24"/>
          <w:szCs w:val="24"/>
          <w:lang w:val="en-US" w:eastAsia="zh-CN" w:bidi="ar-SA"/>
        </w:rPr>
        <w:t>近年来，张家港以“量身定制”的政策体系、“说到做到”的落实举措、“真心实意”的礼遇服务，构筑港城引才聚才留才的“强磁场”</w:t>
      </w:r>
      <w:r>
        <w:rPr>
          <w:rFonts w:hint="default" w:ascii="宋体" w:hAnsi="宋体" w:eastAsia="宋体" w:cs="Times New Roman"/>
          <w:b w:val="0"/>
          <w:bCs w:val="0"/>
          <w:kern w:val="2"/>
          <w:sz w:val="24"/>
          <w:szCs w:val="24"/>
          <w:lang w:val="en-US" w:eastAsia="zh-CN" w:bidi="ar-SA"/>
        </w:rPr>
        <w:t>。</w:t>
      </w:r>
      <w:r>
        <w:rPr>
          <w:rFonts w:hint="eastAsia" w:ascii="宋体" w:hAnsi="宋体" w:eastAsia="宋体" w:cs="Times New Roman"/>
          <w:b w:val="0"/>
          <w:bCs w:val="0"/>
          <w:kern w:val="2"/>
          <w:sz w:val="24"/>
          <w:szCs w:val="24"/>
          <w:lang w:val="en-US" w:eastAsia="zh-CN" w:bidi="ar-SA"/>
        </w:rPr>
        <w:t>以更宽视野构建全球化、市场化招才引智网络，聘请具有国际影响力的专家学者为</w:t>
      </w:r>
      <w:r>
        <w:rPr>
          <w:rFonts w:hint="default" w:ascii="宋体" w:hAnsi="宋体" w:eastAsia="宋体" w:cs="Times New Roman"/>
          <w:b w:val="0"/>
          <w:bCs w:val="0"/>
          <w:kern w:val="2"/>
          <w:sz w:val="24"/>
          <w:szCs w:val="24"/>
          <w:lang w:val="en-US" w:eastAsia="zh-CN" w:bidi="ar-SA"/>
        </w:rPr>
        <w:t>“张家港市全球引才顾问”，发布“智汇港城”引才合作全球伙伴计划</w:t>
      </w:r>
      <w:r>
        <w:rPr>
          <w:rFonts w:hint="eastAsia" w:ascii="宋体" w:hAnsi="宋体" w:eastAsia="宋体" w:cs="Times New Roman"/>
          <w:b w:val="0"/>
          <w:bCs w:val="0"/>
          <w:kern w:val="2"/>
          <w:sz w:val="24"/>
          <w:szCs w:val="24"/>
          <w:lang w:val="en-US" w:eastAsia="zh-CN" w:bidi="ar-SA"/>
        </w:rPr>
        <w:t>。从政策体系上规划归国人才发展路径，深入研究归国人才项目落地、成长、上市等各阶段需求，出台实施</w:t>
      </w:r>
      <w:r>
        <w:rPr>
          <w:rFonts w:hint="default" w:ascii="宋体" w:hAnsi="宋体" w:eastAsia="宋体" w:cs="Times New Roman"/>
          <w:b w:val="0"/>
          <w:bCs w:val="0"/>
          <w:kern w:val="2"/>
          <w:sz w:val="24"/>
          <w:szCs w:val="24"/>
          <w:lang w:val="en-US" w:eastAsia="zh-CN" w:bidi="ar-SA"/>
        </w:rPr>
        <w:t>《归国八条》、“</w:t>
      </w:r>
      <w:bookmarkStart w:id="0" w:name="_GoBack"/>
      <w:bookmarkEnd w:id="0"/>
      <w:r>
        <w:rPr>
          <w:rFonts w:hint="default" w:ascii="宋体" w:hAnsi="宋体" w:eastAsia="宋体" w:cs="Times New Roman"/>
          <w:b w:val="0"/>
          <w:bCs w:val="0"/>
          <w:kern w:val="2"/>
          <w:sz w:val="24"/>
          <w:szCs w:val="24"/>
          <w:lang w:val="en-US" w:eastAsia="zh-CN" w:bidi="ar-SA"/>
        </w:rPr>
        <w:t>攀峰计划”等政策，为归国人才搭建全周期、多元化发展平台。</w:t>
      </w:r>
      <w:r>
        <w:rPr>
          <w:rFonts w:hint="eastAsia" w:ascii="宋体" w:hAnsi="宋体" w:eastAsia="宋体" w:cs="Times New Roman"/>
          <w:b w:val="0"/>
          <w:bCs w:val="0"/>
          <w:kern w:val="2"/>
          <w:sz w:val="24"/>
          <w:szCs w:val="24"/>
          <w:lang w:val="en-US" w:eastAsia="zh-CN" w:bidi="ar-SA"/>
        </w:rPr>
        <w:t>打造25家全球人才服务企业工作站</w:t>
      </w:r>
      <w:r>
        <w:rPr>
          <w:rFonts w:hint="default" w:ascii="宋体" w:hAnsi="宋体" w:eastAsia="宋体" w:cs="Times New Roman"/>
          <w:b w:val="0"/>
          <w:bCs w:val="0"/>
          <w:kern w:val="2"/>
          <w:sz w:val="24"/>
          <w:szCs w:val="24"/>
          <w:lang w:val="en-US" w:eastAsia="zh-CN" w:bidi="ar-SA"/>
        </w:rPr>
        <w:t>，引导企业积极发挥引才主体作用，围绕城市推介、项目引荐、需求发布、活动组织等内容，提供从项目对接到人才落地的全流程服务。</w:t>
      </w:r>
      <w:r>
        <w:rPr>
          <w:rFonts w:hint="eastAsia" w:ascii="宋体" w:hAnsi="宋体" w:eastAsia="宋体" w:cs="Times New Roman"/>
          <w:b w:val="0"/>
          <w:bCs w:val="0"/>
          <w:kern w:val="2"/>
          <w:sz w:val="24"/>
          <w:szCs w:val="24"/>
          <w:lang w:val="en-US" w:eastAsia="zh-CN" w:bidi="ar-SA"/>
        </w:rPr>
        <w:t>链接社会资本和项目资源，以活跃的资本活水浇灌海外优质项目，</w:t>
      </w:r>
      <w:r>
        <w:rPr>
          <w:rFonts w:hint="default" w:ascii="宋体" w:hAnsi="宋体" w:eastAsia="宋体" w:cs="Times New Roman"/>
          <w:b w:val="0"/>
          <w:bCs w:val="0"/>
          <w:kern w:val="2"/>
          <w:sz w:val="24"/>
          <w:szCs w:val="24"/>
          <w:lang w:val="en-US" w:eastAsia="zh-CN" w:bidi="ar-SA"/>
        </w:rPr>
        <w:t>依托15亿元张家港人才一号母基金，细分产业布设9亿元子基金，为人才提供多元化融资解决方案</w:t>
      </w:r>
      <w:r>
        <w:rPr>
          <w:rFonts w:hint="eastAsia" w:cs="Times New Roman"/>
          <w:b w:val="0"/>
          <w:bCs w:val="0"/>
          <w:kern w:val="2"/>
          <w:sz w:val="24"/>
          <w:szCs w:val="24"/>
          <w:lang w:val="en-US" w:eastAsia="zh-CN" w:bidi="ar-SA"/>
        </w:rPr>
        <w:t>。</w:t>
      </w:r>
    </w:p>
    <w:p>
      <w:pPr>
        <w:adjustRightInd w:val="0"/>
        <w:snapToGrid w:val="0"/>
        <w:spacing w:line="360" w:lineRule="auto"/>
        <w:jc w:val="left"/>
        <w:rPr>
          <w:color w:val="FF000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RlM2RmMmQ3NWZlNTI2YTcxNTA3ODNhOGYyN2NhMzAifQ=="/>
  </w:docVars>
  <w:rsids>
    <w:rsidRoot w:val="00F405B7"/>
    <w:rsid w:val="00006087"/>
    <w:rsid w:val="00012187"/>
    <w:rsid w:val="00013747"/>
    <w:rsid w:val="00016DE2"/>
    <w:rsid w:val="000227BC"/>
    <w:rsid w:val="0003728A"/>
    <w:rsid w:val="00043478"/>
    <w:rsid w:val="0004598D"/>
    <w:rsid w:val="000478D2"/>
    <w:rsid w:val="00050931"/>
    <w:rsid w:val="00050C5E"/>
    <w:rsid w:val="00055F6F"/>
    <w:rsid w:val="000567AE"/>
    <w:rsid w:val="000630B7"/>
    <w:rsid w:val="000664E1"/>
    <w:rsid w:val="00066803"/>
    <w:rsid w:val="000668D0"/>
    <w:rsid w:val="00066E64"/>
    <w:rsid w:val="000678B7"/>
    <w:rsid w:val="00072F3E"/>
    <w:rsid w:val="00073D32"/>
    <w:rsid w:val="000822DD"/>
    <w:rsid w:val="0008306D"/>
    <w:rsid w:val="00083974"/>
    <w:rsid w:val="00084B52"/>
    <w:rsid w:val="000855F8"/>
    <w:rsid w:val="000A071E"/>
    <w:rsid w:val="000A7056"/>
    <w:rsid w:val="000B13B0"/>
    <w:rsid w:val="000B1841"/>
    <w:rsid w:val="000B2CD7"/>
    <w:rsid w:val="000B4C20"/>
    <w:rsid w:val="000C5A43"/>
    <w:rsid w:val="000E0C58"/>
    <w:rsid w:val="000E3DFC"/>
    <w:rsid w:val="000F43F0"/>
    <w:rsid w:val="000F69C1"/>
    <w:rsid w:val="000F70AB"/>
    <w:rsid w:val="001104E1"/>
    <w:rsid w:val="00111C0D"/>
    <w:rsid w:val="001147B4"/>
    <w:rsid w:val="00117B68"/>
    <w:rsid w:val="001248F1"/>
    <w:rsid w:val="00125ACA"/>
    <w:rsid w:val="00125D19"/>
    <w:rsid w:val="001262CA"/>
    <w:rsid w:val="00140ECF"/>
    <w:rsid w:val="00142CEF"/>
    <w:rsid w:val="00147C96"/>
    <w:rsid w:val="00151CFC"/>
    <w:rsid w:val="001524CF"/>
    <w:rsid w:val="00154FC5"/>
    <w:rsid w:val="001601F0"/>
    <w:rsid w:val="001606F9"/>
    <w:rsid w:val="001613D2"/>
    <w:rsid w:val="001620C3"/>
    <w:rsid w:val="001700DA"/>
    <w:rsid w:val="00171ED5"/>
    <w:rsid w:val="00181C29"/>
    <w:rsid w:val="00181D8A"/>
    <w:rsid w:val="0018525A"/>
    <w:rsid w:val="001854EE"/>
    <w:rsid w:val="00195ECF"/>
    <w:rsid w:val="001A32CA"/>
    <w:rsid w:val="001A470E"/>
    <w:rsid w:val="001A4952"/>
    <w:rsid w:val="001A6273"/>
    <w:rsid w:val="001B037B"/>
    <w:rsid w:val="001B087F"/>
    <w:rsid w:val="001B09F5"/>
    <w:rsid w:val="001B2459"/>
    <w:rsid w:val="001B3FCA"/>
    <w:rsid w:val="001B5E81"/>
    <w:rsid w:val="001C08AC"/>
    <w:rsid w:val="001C1B7C"/>
    <w:rsid w:val="001C1C78"/>
    <w:rsid w:val="001C4DA6"/>
    <w:rsid w:val="001C7782"/>
    <w:rsid w:val="001D359B"/>
    <w:rsid w:val="001D3AEB"/>
    <w:rsid w:val="001D7844"/>
    <w:rsid w:val="001E019F"/>
    <w:rsid w:val="001E5F63"/>
    <w:rsid w:val="001F0B2B"/>
    <w:rsid w:val="001F37F6"/>
    <w:rsid w:val="001F4BA4"/>
    <w:rsid w:val="001F6B9D"/>
    <w:rsid w:val="0021663D"/>
    <w:rsid w:val="00217FFB"/>
    <w:rsid w:val="002206CB"/>
    <w:rsid w:val="0022349D"/>
    <w:rsid w:val="00224984"/>
    <w:rsid w:val="00230184"/>
    <w:rsid w:val="00232995"/>
    <w:rsid w:val="00233F65"/>
    <w:rsid w:val="002363AF"/>
    <w:rsid w:val="002413EA"/>
    <w:rsid w:val="00266D3C"/>
    <w:rsid w:val="002759FD"/>
    <w:rsid w:val="00293056"/>
    <w:rsid w:val="00295BC4"/>
    <w:rsid w:val="0029610A"/>
    <w:rsid w:val="002968C4"/>
    <w:rsid w:val="00296FFF"/>
    <w:rsid w:val="002A2CBC"/>
    <w:rsid w:val="002A46A5"/>
    <w:rsid w:val="002B0AC3"/>
    <w:rsid w:val="002B3B0B"/>
    <w:rsid w:val="002C0B62"/>
    <w:rsid w:val="002C0F56"/>
    <w:rsid w:val="002C2204"/>
    <w:rsid w:val="002C36BF"/>
    <w:rsid w:val="002C40BB"/>
    <w:rsid w:val="002C543B"/>
    <w:rsid w:val="002D1471"/>
    <w:rsid w:val="002E1C26"/>
    <w:rsid w:val="002E1E4B"/>
    <w:rsid w:val="002E5264"/>
    <w:rsid w:val="002F2362"/>
    <w:rsid w:val="00300F79"/>
    <w:rsid w:val="003057FE"/>
    <w:rsid w:val="00305C97"/>
    <w:rsid w:val="00310D90"/>
    <w:rsid w:val="00316750"/>
    <w:rsid w:val="00316E33"/>
    <w:rsid w:val="00317FED"/>
    <w:rsid w:val="00334013"/>
    <w:rsid w:val="0034498D"/>
    <w:rsid w:val="00350386"/>
    <w:rsid w:val="00350CC5"/>
    <w:rsid w:val="003525CF"/>
    <w:rsid w:val="0035797A"/>
    <w:rsid w:val="003602CB"/>
    <w:rsid w:val="00364886"/>
    <w:rsid w:val="00365C06"/>
    <w:rsid w:val="00365DBF"/>
    <w:rsid w:val="0037416C"/>
    <w:rsid w:val="0037682A"/>
    <w:rsid w:val="003862E5"/>
    <w:rsid w:val="00386B51"/>
    <w:rsid w:val="00394B67"/>
    <w:rsid w:val="00396420"/>
    <w:rsid w:val="00396CE4"/>
    <w:rsid w:val="0039793E"/>
    <w:rsid w:val="003A1016"/>
    <w:rsid w:val="003A435D"/>
    <w:rsid w:val="003A63E3"/>
    <w:rsid w:val="003B0A1E"/>
    <w:rsid w:val="003B10A9"/>
    <w:rsid w:val="003B7B9C"/>
    <w:rsid w:val="003B7C59"/>
    <w:rsid w:val="003C22B3"/>
    <w:rsid w:val="003C3F32"/>
    <w:rsid w:val="003C70E4"/>
    <w:rsid w:val="003C7F36"/>
    <w:rsid w:val="003D4FF9"/>
    <w:rsid w:val="003E0FF4"/>
    <w:rsid w:val="003E2392"/>
    <w:rsid w:val="003E344F"/>
    <w:rsid w:val="003E3E7C"/>
    <w:rsid w:val="003E5D81"/>
    <w:rsid w:val="003E5F19"/>
    <w:rsid w:val="003E6823"/>
    <w:rsid w:val="003F76BB"/>
    <w:rsid w:val="00404350"/>
    <w:rsid w:val="0041029E"/>
    <w:rsid w:val="00411CF6"/>
    <w:rsid w:val="004155AB"/>
    <w:rsid w:val="004157A4"/>
    <w:rsid w:val="00416CEF"/>
    <w:rsid w:val="004217C0"/>
    <w:rsid w:val="00426ABF"/>
    <w:rsid w:val="0043424C"/>
    <w:rsid w:val="00434793"/>
    <w:rsid w:val="00446431"/>
    <w:rsid w:val="00446789"/>
    <w:rsid w:val="0045156E"/>
    <w:rsid w:val="004552CE"/>
    <w:rsid w:val="00460EB2"/>
    <w:rsid w:val="00461C2F"/>
    <w:rsid w:val="0046297A"/>
    <w:rsid w:val="004649EF"/>
    <w:rsid w:val="004658E5"/>
    <w:rsid w:val="004662E8"/>
    <w:rsid w:val="004761E3"/>
    <w:rsid w:val="00480652"/>
    <w:rsid w:val="004824B3"/>
    <w:rsid w:val="004831F4"/>
    <w:rsid w:val="0048372A"/>
    <w:rsid w:val="00484C8D"/>
    <w:rsid w:val="0049356E"/>
    <w:rsid w:val="00493D66"/>
    <w:rsid w:val="004B1FD8"/>
    <w:rsid w:val="004B56D2"/>
    <w:rsid w:val="004B7DC0"/>
    <w:rsid w:val="004C072B"/>
    <w:rsid w:val="004D1B76"/>
    <w:rsid w:val="004D2B33"/>
    <w:rsid w:val="004D3213"/>
    <w:rsid w:val="004D3255"/>
    <w:rsid w:val="004D771F"/>
    <w:rsid w:val="004D788A"/>
    <w:rsid w:val="004F2CF2"/>
    <w:rsid w:val="004F6D79"/>
    <w:rsid w:val="00501423"/>
    <w:rsid w:val="00505926"/>
    <w:rsid w:val="0050671D"/>
    <w:rsid w:val="00510977"/>
    <w:rsid w:val="00515F88"/>
    <w:rsid w:val="00532483"/>
    <w:rsid w:val="005327E0"/>
    <w:rsid w:val="005347B2"/>
    <w:rsid w:val="005375F8"/>
    <w:rsid w:val="0053791D"/>
    <w:rsid w:val="00542820"/>
    <w:rsid w:val="0054726A"/>
    <w:rsid w:val="0055092A"/>
    <w:rsid w:val="00555DBF"/>
    <w:rsid w:val="005561FC"/>
    <w:rsid w:val="005602AE"/>
    <w:rsid w:val="00560F9C"/>
    <w:rsid w:val="00567E9E"/>
    <w:rsid w:val="00572984"/>
    <w:rsid w:val="00572F2E"/>
    <w:rsid w:val="00574251"/>
    <w:rsid w:val="00576A8B"/>
    <w:rsid w:val="00577FFC"/>
    <w:rsid w:val="005849DD"/>
    <w:rsid w:val="005A19C5"/>
    <w:rsid w:val="005A63C8"/>
    <w:rsid w:val="005A68C0"/>
    <w:rsid w:val="005B45EE"/>
    <w:rsid w:val="005B48DB"/>
    <w:rsid w:val="005B58BD"/>
    <w:rsid w:val="005B6CD4"/>
    <w:rsid w:val="005E0DE4"/>
    <w:rsid w:val="005E1B00"/>
    <w:rsid w:val="005E33BF"/>
    <w:rsid w:val="005E3AEE"/>
    <w:rsid w:val="005E68FC"/>
    <w:rsid w:val="005E730F"/>
    <w:rsid w:val="005F03D4"/>
    <w:rsid w:val="005F3125"/>
    <w:rsid w:val="005F3491"/>
    <w:rsid w:val="005F4F7A"/>
    <w:rsid w:val="0060024B"/>
    <w:rsid w:val="00601A40"/>
    <w:rsid w:val="006029C7"/>
    <w:rsid w:val="00615568"/>
    <w:rsid w:val="00624F33"/>
    <w:rsid w:val="006338B7"/>
    <w:rsid w:val="006345B3"/>
    <w:rsid w:val="00635277"/>
    <w:rsid w:val="00636F84"/>
    <w:rsid w:val="0063720E"/>
    <w:rsid w:val="00644F71"/>
    <w:rsid w:val="006529F2"/>
    <w:rsid w:val="00655D80"/>
    <w:rsid w:val="00657BBE"/>
    <w:rsid w:val="00660CD2"/>
    <w:rsid w:val="00660FCC"/>
    <w:rsid w:val="0066256E"/>
    <w:rsid w:val="0066299E"/>
    <w:rsid w:val="00663532"/>
    <w:rsid w:val="00663BC9"/>
    <w:rsid w:val="0066526C"/>
    <w:rsid w:val="0066534A"/>
    <w:rsid w:val="006732D8"/>
    <w:rsid w:val="0067391E"/>
    <w:rsid w:val="0068266E"/>
    <w:rsid w:val="00682C1A"/>
    <w:rsid w:val="00687CEA"/>
    <w:rsid w:val="006907AE"/>
    <w:rsid w:val="00690D78"/>
    <w:rsid w:val="006935F1"/>
    <w:rsid w:val="006A183A"/>
    <w:rsid w:val="006A44D0"/>
    <w:rsid w:val="006B101D"/>
    <w:rsid w:val="006C0526"/>
    <w:rsid w:val="006C6E58"/>
    <w:rsid w:val="006D1DA3"/>
    <w:rsid w:val="006D1E52"/>
    <w:rsid w:val="006D5FD7"/>
    <w:rsid w:val="006D64DF"/>
    <w:rsid w:val="006D66BF"/>
    <w:rsid w:val="006D69D6"/>
    <w:rsid w:val="006D7F24"/>
    <w:rsid w:val="006E58D8"/>
    <w:rsid w:val="006E7CE7"/>
    <w:rsid w:val="006F4C5A"/>
    <w:rsid w:val="007050CC"/>
    <w:rsid w:val="00707CBE"/>
    <w:rsid w:val="0071237C"/>
    <w:rsid w:val="00721CA6"/>
    <w:rsid w:val="007308D9"/>
    <w:rsid w:val="0073093F"/>
    <w:rsid w:val="007337C5"/>
    <w:rsid w:val="00733888"/>
    <w:rsid w:val="007441F8"/>
    <w:rsid w:val="007500E3"/>
    <w:rsid w:val="0075017F"/>
    <w:rsid w:val="00751689"/>
    <w:rsid w:val="007544E0"/>
    <w:rsid w:val="00754822"/>
    <w:rsid w:val="007626EE"/>
    <w:rsid w:val="00763B3C"/>
    <w:rsid w:val="00765DFE"/>
    <w:rsid w:val="00767F43"/>
    <w:rsid w:val="00771AA7"/>
    <w:rsid w:val="00773D0D"/>
    <w:rsid w:val="007817B4"/>
    <w:rsid w:val="00783799"/>
    <w:rsid w:val="00783EC3"/>
    <w:rsid w:val="00785435"/>
    <w:rsid w:val="007870FA"/>
    <w:rsid w:val="00787A20"/>
    <w:rsid w:val="00791068"/>
    <w:rsid w:val="0079257B"/>
    <w:rsid w:val="00792B24"/>
    <w:rsid w:val="00792B27"/>
    <w:rsid w:val="00792C22"/>
    <w:rsid w:val="00793D18"/>
    <w:rsid w:val="00794105"/>
    <w:rsid w:val="00794DFF"/>
    <w:rsid w:val="00796679"/>
    <w:rsid w:val="007A04E1"/>
    <w:rsid w:val="007A08B1"/>
    <w:rsid w:val="007A45F5"/>
    <w:rsid w:val="007A5F3C"/>
    <w:rsid w:val="007C2D56"/>
    <w:rsid w:val="007C3858"/>
    <w:rsid w:val="007C5652"/>
    <w:rsid w:val="007C683E"/>
    <w:rsid w:val="007C6B7A"/>
    <w:rsid w:val="007D5489"/>
    <w:rsid w:val="007D7010"/>
    <w:rsid w:val="007D7D7C"/>
    <w:rsid w:val="007E3461"/>
    <w:rsid w:val="007E4857"/>
    <w:rsid w:val="007E6AD5"/>
    <w:rsid w:val="007F0325"/>
    <w:rsid w:val="00800640"/>
    <w:rsid w:val="008020D2"/>
    <w:rsid w:val="00804439"/>
    <w:rsid w:val="00806020"/>
    <w:rsid w:val="00810D15"/>
    <w:rsid w:val="0081548D"/>
    <w:rsid w:val="008210BC"/>
    <w:rsid w:val="00823807"/>
    <w:rsid w:val="00831DD2"/>
    <w:rsid w:val="00831EBD"/>
    <w:rsid w:val="00832721"/>
    <w:rsid w:val="00835DF9"/>
    <w:rsid w:val="008418E0"/>
    <w:rsid w:val="0084463E"/>
    <w:rsid w:val="00845C43"/>
    <w:rsid w:val="00847A0F"/>
    <w:rsid w:val="008531A0"/>
    <w:rsid w:val="00861A84"/>
    <w:rsid w:val="00862308"/>
    <w:rsid w:val="00862B90"/>
    <w:rsid w:val="00862E72"/>
    <w:rsid w:val="00871605"/>
    <w:rsid w:val="00875A1D"/>
    <w:rsid w:val="008834A3"/>
    <w:rsid w:val="00884504"/>
    <w:rsid w:val="00886267"/>
    <w:rsid w:val="00891677"/>
    <w:rsid w:val="008A03FC"/>
    <w:rsid w:val="008B47A0"/>
    <w:rsid w:val="008B6931"/>
    <w:rsid w:val="008C345D"/>
    <w:rsid w:val="008C3B2B"/>
    <w:rsid w:val="008D0951"/>
    <w:rsid w:val="008D21D4"/>
    <w:rsid w:val="008D2C4D"/>
    <w:rsid w:val="008D4AEF"/>
    <w:rsid w:val="008E060A"/>
    <w:rsid w:val="008E63F3"/>
    <w:rsid w:val="008E769A"/>
    <w:rsid w:val="008F070C"/>
    <w:rsid w:val="008F326D"/>
    <w:rsid w:val="008F4441"/>
    <w:rsid w:val="009050B8"/>
    <w:rsid w:val="00907D3D"/>
    <w:rsid w:val="00915D9F"/>
    <w:rsid w:val="0091798E"/>
    <w:rsid w:val="009213D5"/>
    <w:rsid w:val="00921E26"/>
    <w:rsid w:val="00925555"/>
    <w:rsid w:val="00925B07"/>
    <w:rsid w:val="009266E7"/>
    <w:rsid w:val="009279F8"/>
    <w:rsid w:val="00931F21"/>
    <w:rsid w:val="009345E9"/>
    <w:rsid w:val="00935F12"/>
    <w:rsid w:val="00937F11"/>
    <w:rsid w:val="00946E5E"/>
    <w:rsid w:val="00953551"/>
    <w:rsid w:val="009544BB"/>
    <w:rsid w:val="00962ECA"/>
    <w:rsid w:val="00967D1D"/>
    <w:rsid w:val="00971C63"/>
    <w:rsid w:val="00974709"/>
    <w:rsid w:val="0098696C"/>
    <w:rsid w:val="009927FE"/>
    <w:rsid w:val="00994803"/>
    <w:rsid w:val="00996CF9"/>
    <w:rsid w:val="009A72D9"/>
    <w:rsid w:val="009B6F09"/>
    <w:rsid w:val="009B79B9"/>
    <w:rsid w:val="009C0BA4"/>
    <w:rsid w:val="009C254E"/>
    <w:rsid w:val="009C46D4"/>
    <w:rsid w:val="009D30A0"/>
    <w:rsid w:val="009D3504"/>
    <w:rsid w:val="009D4691"/>
    <w:rsid w:val="009D6100"/>
    <w:rsid w:val="009D7D3E"/>
    <w:rsid w:val="009E27FD"/>
    <w:rsid w:val="009E4357"/>
    <w:rsid w:val="009E4BA6"/>
    <w:rsid w:val="009E56DB"/>
    <w:rsid w:val="009E5C74"/>
    <w:rsid w:val="009E730A"/>
    <w:rsid w:val="009F0169"/>
    <w:rsid w:val="009F37EA"/>
    <w:rsid w:val="009F5413"/>
    <w:rsid w:val="009F5867"/>
    <w:rsid w:val="009F5A48"/>
    <w:rsid w:val="009F5BD4"/>
    <w:rsid w:val="009F78A4"/>
    <w:rsid w:val="00A05C3E"/>
    <w:rsid w:val="00A0654C"/>
    <w:rsid w:val="00A14F29"/>
    <w:rsid w:val="00A1672A"/>
    <w:rsid w:val="00A1758B"/>
    <w:rsid w:val="00A228CE"/>
    <w:rsid w:val="00A23620"/>
    <w:rsid w:val="00A27F20"/>
    <w:rsid w:val="00A30150"/>
    <w:rsid w:val="00A30A13"/>
    <w:rsid w:val="00A33CD7"/>
    <w:rsid w:val="00A34FFA"/>
    <w:rsid w:val="00A36AC2"/>
    <w:rsid w:val="00A3720C"/>
    <w:rsid w:val="00A61F72"/>
    <w:rsid w:val="00A63CB8"/>
    <w:rsid w:val="00A70EE8"/>
    <w:rsid w:val="00A72663"/>
    <w:rsid w:val="00A7395D"/>
    <w:rsid w:val="00A73A2F"/>
    <w:rsid w:val="00A81BCF"/>
    <w:rsid w:val="00A81DBE"/>
    <w:rsid w:val="00A83B87"/>
    <w:rsid w:val="00A859F4"/>
    <w:rsid w:val="00A85CD4"/>
    <w:rsid w:val="00A863BE"/>
    <w:rsid w:val="00A917F3"/>
    <w:rsid w:val="00A91F4B"/>
    <w:rsid w:val="00A92CB6"/>
    <w:rsid w:val="00A9336F"/>
    <w:rsid w:val="00A97718"/>
    <w:rsid w:val="00AA0A9E"/>
    <w:rsid w:val="00AA1BBA"/>
    <w:rsid w:val="00AA7153"/>
    <w:rsid w:val="00AB187F"/>
    <w:rsid w:val="00AB46FD"/>
    <w:rsid w:val="00AC1A63"/>
    <w:rsid w:val="00AC2E67"/>
    <w:rsid w:val="00AC6FE2"/>
    <w:rsid w:val="00AD1F99"/>
    <w:rsid w:val="00AE2B40"/>
    <w:rsid w:val="00AE3CCC"/>
    <w:rsid w:val="00AE46CF"/>
    <w:rsid w:val="00AF632A"/>
    <w:rsid w:val="00AF7802"/>
    <w:rsid w:val="00B018C2"/>
    <w:rsid w:val="00B02153"/>
    <w:rsid w:val="00B04B64"/>
    <w:rsid w:val="00B06D17"/>
    <w:rsid w:val="00B1537E"/>
    <w:rsid w:val="00B218B9"/>
    <w:rsid w:val="00B237B1"/>
    <w:rsid w:val="00B26ADC"/>
    <w:rsid w:val="00B279B2"/>
    <w:rsid w:val="00B27E4A"/>
    <w:rsid w:val="00B32132"/>
    <w:rsid w:val="00B33FAF"/>
    <w:rsid w:val="00B34543"/>
    <w:rsid w:val="00B35DFB"/>
    <w:rsid w:val="00B36E28"/>
    <w:rsid w:val="00B403CA"/>
    <w:rsid w:val="00B4081E"/>
    <w:rsid w:val="00B43410"/>
    <w:rsid w:val="00B45474"/>
    <w:rsid w:val="00B53306"/>
    <w:rsid w:val="00B53FA0"/>
    <w:rsid w:val="00B55690"/>
    <w:rsid w:val="00B6017D"/>
    <w:rsid w:val="00B63390"/>
    <w:rsid w:val="00B654DE"/>
    <w:rsid w:val="00B65530"/>
    <w:rsid w:val="00B72DAB"/>
    <w:rsid w:val="00B76220"/>
    <w:rsid w:val="00B80206"/>
    <w:rsid w:val="00B80CBC"/>
    <w:rsid w:val="00B811B1"/>
    <w:rsid w:val="00B81A9C"/>
    <w:rsid w:val="00B92685"/>
    <w:rsid w:val="00B96832"/>
    <w:rsid w:val="00BA2331"/>
    <w:rsid w:val="00BA2C24"/>
    <w:rsid w:val="00BA774D"/>
    <w:rsid w:val="00BB0A96"/>
    <w:rsid w:val="00BB218E"/>
    <w:rsid w:val="00BB461C"/>
    <w:rsid w:val="00BC61A3"/>
    <w:rsid w:val="00BC7068"/>
    <w:rsid w:val="00BC7209"/>
    <w:rsid w:val="00BD31F4"/>
    <w:rsid w:val="00BD5BAB"/>
    <w:rsid w:val="00BD5CE8"/>
    <w:rsid w:val="00BE0B03"/>
    <w:rsid w:val="00BE71B6"/>
    <w:rsid w:val="00C05E88"/>
    <w:rsid w:val="00C15CBE"/>
    <w:rsid w:val="00C212EA"/>
    <w:rsid w:val="00C2355A"/>
    <w:rsid w:val="00C2637E"/>
    <w:rsid w:val="00C276F7"/>
    <w:rsid w:val="00C3092F"/>
    <w:rsid w:val="00C312AB"/>
    <w:rsid w:val="00C32C85"/>
    <w:rsid w:val="00C3378E"/>
    <w:rsid w:val="00C433FC"/>
    <w:rsid w:val="00C4411B"/>
    <w:rsid w:val="00C4487F"/>
    <w:rsid w:val="00C462C5"/>
    <w:rsid w:val="00C540B9"/>
    <w:rsid w:val="00C6450D"/>
    <w:rsid w:val="00C662DD"/>
    <w:rsid w:val="00C70B3E"/>
    <w:rsid w:val="00C70DAE"/>
    <w:rsid w:val="00C70E09"/>
    <w:rsid w:val="00C70FD9"/>
    <w:rsid w:val="00C712FF"/>
    <w:rsid w:val="00C72294"/>
    <w:rsid w:val="00C7449F"/>
    <w:rsid w:val="00C74A6B"/>
    <w:rsid w:val="00C84F34"/>
    <w:rsid w:val="00C9088D"/>
    <w:rsid w:val="00C93E10"/>
    <w:rsid w:val="00CA3F5F"/>
    <w:rsid w:val="00CA57D1"/>
    <w:rsid w:val="00CA65EC"/>
    <w:rsid w:val="00CB026A"/>
    <w:rsid w:val="00CB4F17"/>
    <w:rsid w:val="00CB696E"/>
    <w:rsid w:val="00CC0A78"/>
    <w:rsid w:val="00CC0C51"/>
    <w:rsid w:val="00CC1763"/>
    <w:rsid w:val="00CC6FAD"/>
    <w:rsid w:val="00CD699A"/>
    <w:rsid w:val="00CE6244"/>
    <w:rsid w:val="00CF04EC"/>
    <w:rsid w:val="00CF571E"/>
    <w:rsid w:val="00CF6009"/>
    <w:rsid w:val="00CF7040"/>
    <w:rsid w:val="00D00843"/>
    <w:rsid w:val="00D010A3"/>
    <w:rsid w:val="00D04F55"/>
    <w:rsid w:val="00D15DFC"/>
    <w:rsid w:val="00D17005"/>
    <w:rsid w:val="00D201F9"/>
    <w:rsid w:val="00D22C4E"/>
    <w:rsid w:val="00D23BB0"/>
    <w:rsid w:val="00D25ECF"/>
    <w:rsid w:val="00D26DF4"/>
    <w:rsid w:val="00D31854"/>
    <w:rsid w:val="00D31F7B"/>
    <w:rsid w:val="00D343F5"/>
    <w:rsid w:val="00D36DF7"/>
    <w:rsid w:val="00D40E79"/>
    <w:rsid w:val="00D476BC"/>
    <w:rsid w:val="00D5000C"/>
    <w:rsid w:val="00D562FA"/>
    <w:rsid w:val="00D5649E"/>
    <w:rsid w:val="00D61098"/>
    <w:rsid w:val="00D662E7"/>
    <w:rsid w:val="00D6764E"/>
    <w:rsid w:val="00D75549"/>
    <w:rsid w:val="00D75E14"/>
    <w:rsid w:val="00D8630A"/>
    <w:rsid w:val="00D90FAA"/>
    <w:rsid w:val="00D92B3C"/>
    <w:rsid w:val="00DA21EE"/>
    <w:rsid w:val="00DA3B3C"/>
    <w:rsid w:val="00DA68D5"/>
    <w:rsid w:val="00DB6E7B"/>
    <w:rsid w:val="00DC3B9A"/>
    <w:rsid w:val="00DC7EF5"/>
    <w:rsid w:val="00DD62DE"/>
    <w:rsid w:val="00DE062E"/>
    <w:rsid w:val="00DF20B1"/>
    <w:rsid w:val="00DF43A6"/>
    <w:rsid w:val="00DF4600"/>
    <w:rsid w:val="00DF6F42"/>
    <w:rsid w:val="00E07375"/>
    <w:rsid w:val="00E07749"/>
    <w:rsid w:val="00E11BBE"/>
    <w:rsid w:val="00E20F80"/>
    <w:rsid w:val="00E220D9"/>
    <w:rsid w:val="00E22847"/>
    <w:rsid w:val="00E24576"/>
    <w:rsid w:val="00E44341"/>
    <w:rsid w:val="00E447F7"/>
    <w:rsid w:val="00E47187"/>
    <w:rsid w:val="00E47311"/>
    <w:rsid w:val="00E52CAC"/>
    <w:rsid w:val="00E53D01"/>
    <w:rsid w:val="00E556B6"/>
    <w:rsid w:val="00E5579B"/>
    <w:rsid w:val="00E578EE"/>
    <w:rsid w:val="00E614A0"/>
    <w:rsid w:val="00E62C9E"/>
    <w:rsid w:val="00E701D7"/>
    <w:rsid w:val="00E769CE"/>
    <w:rsid w:val="00E85996"/>
    <w:rsid w:val="00E866B7"/>
    <w:rsid w:val="00E94C11"/>
    <w:rsid w:val="00E9539B"/>
    <w:rsid w:val="00E97EC2"/>
    <w:rsid w:val="00EA010D"/>
    <w:rsid w:val="00EA37AC"/>
    <w:rsid w:val="00EA5687"/>
    <w:rsid w:val="00EA59B1"/>
    <w:rsid w:val="00EA5D5F"/>
    <w:rsid w:val="00EA68EE"/>
    <w:rsid w:val="00EB15F4"/>
    <w:rsid w:val="00EC0AAF"/>
    <w:rsid w:val="00EC135C"/>
    <w:rsid w:val="00EC31B6"/>
    <w:rsid w:val="00EC61A7"/>
    <w:rsid w:val="00EC64D4"/>
    <w:rsid w:val="00EC7C66"/>
    <w:rsid w:val="00EE0FF5"/>
    <w:rsid w:val="00EE3BDA"/>
    <w:rsid w:val="00EE401A"/>
    <w:rsid w:val="00EE5E1F"/>
    <w:rsid w:val="00EF1CC5"/>
    <w:rsid w:val="00EF33A8"/>
    <w:rsid w:val="00EF3596"/>
    <w:rsid w:val="00EF4AEE"/>
    <w:rsid w:val="00EF4DA4"/>
    <w:rsid w:val="00EF718F"/>
    <w:rsid w:val="00F01B8F"/>
    <w:rsid w:val="00F05E09"/>
    <w:rsid w:val="00F07F4B"/>
    <w:rsid w:val="00F10138"/>
    <w:rsid w:val="00F12209"/>
    <w:rsid w:val="00F15A3B"/>
    <w:rsid w:val="00F1671E"/>
    <w:rsid w:val="00F20112"/>
    <w:rsid w:val="00F252E9"/>
    <w:rsid w:val="00F3745C"/>
    <w:rsid w:val="00F37EB2"/>
    <w:rsid w:val="00F37F6A"/>
    <w:rsid w:val="00F405B7"/>
    <w:rsid w:val="00F409B1"/>
    <w:rsid w:val="00F40A94"/>
    <w:rsid w:val="00F40AB4"/>
    <w:rsid w:val="00F42776"/>
    <w:rsid w:val="00F4737B"/>
    <w:rsid w:val="00F47F50"/>
    <w:rsid w:val="00F51704"/>
    <w:rsid w:val="00F5474D"/>
    <w:rsid w:val="00F54F9C"/>
    <w:rsid w:val="00F57C8A"/>
    <w:rsid w:val="00F659C7"/>
    <w:rsid w:val="00F70DA4"/>
    <w:rsid w:val="00F71DF6"/>
    <w:rsid w:val="00F74F58"/>
    <w:rsid w:val="00F750BE"/>
    <w:rsid w:val="00F77823"/>
    <w:rsid w:val="00F82995"/>
    <w:rsid w:val="00F860D4"/>
    <w:rsid w:val="00F9028C"/>
    <w:rsid w:val="00F91CCE"/>
    <w:rsid w:val="00F9235D"/>
    <w:rsid w:val="00F96D73"/>
    <w:rsid w:val="00F96E84"/>
    <w:rsid w:val="00F9739B"/>
    <w:rsid w:val="00FA7193"/>
    <w:rsid w:val="00FA7B4B"/>
    <w:rsid w:val="00FB3048"/>
    <w:rsid w:val="00FB5BE9"/>
    <w:rsid w:val="00FB656D"/>
    <w:rsid w:val="00FB6E23"/>
    <w:rsid w:val="00FB7EC7"/>
    <w:rsid w:val="00FC0692"/>
    <w:rsid w:val="00FC5A9D"/>
    <w:rsid w:val="00FD2ED4"/>
    <w:rsid w:val="00FD320D"/>
    <w:rsid w:val="00FD3F40"/>
    <w:rsid w:val="00FD67E6"/>
    <w:rsid w:val="00FE0A64"/>
    <w:rsid w:val="01062F7F"/>
    <w:rsid w:val="01276EE8"/>
    <w:rsid w:val="016043AA"/>
    <w:rsid w:val="01CC65FD"/>
    <w:rsid w:val="02600504"/>
    <w:rsid w:val="027A76EE"/>
    <w:rsid w:val="039447DF"/>
    <w:rsid w:val="04F65062"/>
    <w:rsid w:val="06606BFB"/>
    <w:rsid w:val="080A1514"/>
    <w:rsid w:val="09463857"/>
    <w:rsid w:val="0BCD7620"/>
    <w:rsid w:val="0D133A1F"/>
    <w:rsid w:val="0DA254D8"/>
    <w:rsid w:val="0E4F332A"/>
    <w:rsid w:val="0FBE0066"/>
    <w:rsid w:val="10B65D95"/>
    <w:rsid w:val="111C252A"/>
    <w:rsid w:val="112F5B47"/>
    <w:rsid w:val="12BC5C94"/>
    <w:rsid w:val="12E017EF"/>
    <w:rsid w:val="143040B0"/>
    <w:rsid w:val="165E1976"/>
    <w:rsid w:val="165F0455"/>
    <w:rsid w:val="16D03928"/>
    <w:rsid w:val="171D2EE8"/>
    <w:rsid w:val="17463BEB"/>
    <w:rsid w:val="18D92F68"/>
    <w:rsid w:val="191341EA"/>
    <w:rsid w:val="1930537C"/>
    <w:rsid w:val="19E576EB"/>
    <w:rsid w:val="1A497C7A"/>
    <w:rsid w:val="1C04507F"/>
    <w:rsid w:val="1C2C1B1A"/>
    <w:rsid w:val="1CB40D12"/>
    <w:rsid w:val="1CC17059"/>
    <w:rsid w:val="1D7315FE"/>
    <w:rsid w:val="1E1C35D9"/>
    <w:rsid w:val="1F18526B"/>
    <w:rsid w:val="1F4A60B4"/>
    <w:rsid w:val="20A72B06"/>
    <w:rsid w:val="20E66BBC"/>
    <w:rsid w:val="21412C93"/>
    <w:rsid w:val="23097FD3"/>
    <w:rsid w:val="248D2E59"/>
    <w:rsid w:val="25115838"/>
    <w:rsid w:val="275544FE"/>
    <w:rsid w:val="27F87FBF"/>
    <w:rsid w:val="296B7D86"/>
    <w:rsid w:val="2A0E10AB"/>
    <w:rsid w:val="2A32072A"/>
    <w:rsid w:val="2ADF3CE2"/>
    <w:rsid w:val="2B267C2C"/>
    <w:rsid w:val="2B2C3A0F"/>
    <w:rsid w:val="2B58324B"/>
    <w:rsid w:val="2D4B38B1"/>
    <w:rsid w:val="2D8F19AF"/>
    <w:rsid w:val="2E073C78"/>
    <w:rsid w:val="2E46039E"/>
    <w:rsid w:val="2E7B1445"/>
    <w:rsid w:val="2EAE2DFA"/>
    <w:rsid w:val="2EF91EDC"/>
    <w:rsid w:val="2F452CAE"/>
    <w:rsid w:val="2FA35DFD"/>
    <w:rsid w:val="2FF13BF2"/>
    <w:rsid w:val="325274FF"/>
    <w:rsid w:val="32D76AE7"/>
    <w:rsid w:val="333C7DDE"/>
    <w:rsid w:val="34DF75CD"/>
    <w:rsid w:val="34F21A21"/>
    <w:rsid w:val="353A4937"/>
    <w:rsid w:val="35D703D8"/>
    <w:rsid w:val="376037DD"/>
    <w:rsid w:val="37A91900"/>
    <w:rsid w:val="3AC86FBB"/>
    <w:rsid w:val="3B114DF7"/>
    <w:rsid w:val="3D436353"/>
    <w:rsid w:val="3DC244F3"/>
    <w:rsid w:val="3DD376D7"/>
    <w:rsid w:val="3E5C7AFE"/>
    <w:rsid w:val="3ED9165E"/>
    <w:rsid w:val="3F285800"/>
    <w:rsid w:val="40354679"/>
    <w:rsid w:val="40D8162D"/>
    <w:rsid w:val="413B1790"/>
    <w:rsid w:val="42482694"/>
    <w:rsid w:val="426D3347"/>
    <w:rsid w:val="42E90506"/>
    <w:rsid w:val="44945DD7"/>
    <w:rsid w:val="45007DE5"/>
    <w:rsid w:val="45A2455E"/>
    <w:rsid w:val="45D57DBD"/>
    <w:rsid w:val="4641577C"/>
    <w:rsid w:val="476B6BD2"/>
    <w:rsid w:val="47E36CF9"/>
    <w:rsid w:val="48186781"/>
    <w:rsid w:val="49AF0FF8"/>
    <w:rsid w:val="4D0C050F"/>
    <w:rsid w:val="4D422183"/>
    <w:rsid w:val="4D460FB1"/>
    <w:rsid w:val="4F7E64C7"/>
    <w:rsid w:val="51930FD3"/>
    <w:rsid w:val="5229020B"/>
    <w:rsid w:val="52533B17"/>
    <w:rsid w:val="52735E42"/>
    <w:rsid w:val="52950FA7"/>
    <w:rsid w:val="52DD7F62"/>
    <w:rsid w:val="54FE70B6"/>
    <w:rsid w:val="56011B60"/>
    <w:rsid w:val="564231F4"/>
    <w:rsid w:val="56554CD5"/>
    <w:rsid w:val="57077AC2"/>
    <w:rsid w:val="583A6878"/>
    <w:rsid w:val="58607F51"/>
    <w:rsid w:val="594159E5"/>
    <w:rsid w:val="59F259C1"/>
    <w:rsid w:val="5A74434F"/>
    <w:rsid w:val="5D115701"/>
    <w:rsid w:val="5D7B1CC1"/>
    <w:rsid w:val="5D8C4DAE"/>
    <w:rsid w:val="5ED115B9"/>
    <w:rsid w:val="5F8D097E"/>
    <w:rsid w:val="602E60BA"/>
    <w:rsid w:val="610E08A2"/>
    <w:rsid w:val="62B203B6"/>
    <w:rsid w:val="62F272AA"/>
    <w:rsid w:val="64EF7C62"/>
    <w:rsid w:val="65D6012C"/>
    <w:rsid w:val="6612673F"/>
    <w:rsid w:val="66E924E3"/>
    <w:rsid w:val="674943E2"/>
    <w:rsid w:val="6818595B"/>
    <w:rsid w:val="68B630D0"/>
    <w:rsid w:val="68CF4340"/>
    <w:rsid w:val="68DC4DE2"/>
    <w:rsid w:val="69CC12FA"/>
    <w:rsid w:val="69CE6E20"/>
    <w:rsid w:val="6BBD5ED0"/>
    <w:rsid w:val="6BBF6898"/>
    <w:rsid w:val="6BDA7CFF"/>
    <w:rsid w:val="6D0019E7"/>
    <w:rsid w:val="6E8842D7"/>
    <w:rsid w:val="6E9D553D"/>
    <w:rsid w:val="6F5C0A2B"/>
    <w:rsid w:val="6F7C26C4"/>
    <w:rsid w:val="709C468C"/>
    <w:rsid w:val="715A6CDB"/>
    <w:rsid w:val="726A07D9"/>
    <w:rsid w:val="728C7879"/>
    <w:rsid w:val="72DF209E"/>
    <w:rsid w:val="731A1328"/>
    <w:rsid w:val="734300DC"/>
    <w:rsid w:val="73BB0416"/>
    <w:rsid w:val="75241FEA"/>
    <w:rsid w:val="75FF0362"/>
    <w:rsid w:val="76AA32D9"/>
    <w:rsid w:val="77057911"/>
    <w:rsid w:val="77245B9A"/>
    <w:rsid w:val="7969142D"/>
    <w:rsid w:val="79AE38A9"/>
    <w:rsid w:val="7A493B47"/>
    <w:rsid w:val="7A500CBF"/>
    <w:rsid w:val="7A560AC8"/>
    <w:rsid w:val="7C174657"/>
    <w:rsid w:val="7C7F3FAA"/>
    <w:rsid w:val="7CAB2DCD"/>
    <w:rsid w:val="7D4B14A7"/>
    <w:rsid w:val="7D9577C3"/>
    <w:rsid w:val="7E454AC0"/>
    <w:rsid w:val="7EA85D13"/>
    <w:rsid w:val="7EE66563"/>
    <w:rsid w:val="7F0567CF"/>
    <w:rsid w:val="7F1A3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7"/>
    <w:semiHidden/>
    <w:qFormat/>
    <w:uiPriority w:val="0"/>
    <w:pPr>
      <w:shd w:val="clear" w:color="auto" w:fill="000080"/>
    </w:pPr>
  </w:style>
  <w:style w:type="paragraph" w:styleId="4">
    <w:name w:val="Balloon Text"/>
    <w:basedOn w:val="1"/>
    <w:link w:val="15"/>
    <w:semiHidden/>
    <w:unhideWhenUsed/>
    <w:qFormat/>
    <w:uiPriority w:val="0"/>
    <w:rPr>
      <w:sz w:val="18"/>
      <w:szCs w:val="18"/>
    </w:rPr>
  </w:style>
  <w:style w:type="paragraph" w:styleId="5">
    <w:name w:val="footer"/>
    <w:basedOn w:val="1"/>
    <w:link w:val="14"/>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3"/>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page number"/>
    <w:basedOn w:val="10"/>
    <w:qFormat/>
    <w:uiPriority w:val="0"/>
  </w:style>
  <w:style w:type="character" w:customStyle="1" w:styleId="13">
    <w:name w:val="页眉 Char"/>
    <w:basedOn w:val="10"/>
    <w:link w:val="6"/>
    <w:qFormat/>
    <w:uiPriority w:val="0"/>
    <w:rPr>
      <w:sz w:val="18"/>
      <w:szCs w:val="18"/>
    </w:rPr>
  </w:style>
  <w:style w:type="character" w:customStyle="1" w:styleId="14">
    <w:name w:val="页脚 Char"/>
    <w:basedOn w:val="10"/>
    <w:link w:val="5"/>
    <w:semiHidden/>
    <w:qFormat/>
    <w:uiPriority w:val="99"/>
    <w:rPr>
      <w:sz w:val="18"/>
      <w:szCs w:val="18"/>
    </w:rPr>
  </w:style>
  <w:style w:type="character" w:customStyle="1" w:styleId="15">
    <w:name w:val="批注框文本 Char"/>
    <w:basedOn w:val="10"/>
    <w:link w:val="4"/>
    <w:semiHidden/>
    <w:qFormat/>
    <w:uiPriority w:val="99"/>
    <w:rPr>
      <w:rFonts w:ascii="Times New Roman" w:hAnsi="Times New Roman" w:eastAsia="宋体" w:cs="Times New Roman"/>
      <w:sz w:val="18"/>
      <w:szCs w:val="18"/>
    </w:rPr>
  </w:style>
  <w:style w:type="paragraph" w:customStyle="1" w:styleId="16">
    <w:name w:val="Char Char Char Char"/>
    <w:basedOn w:val="3"/>
    <w:qFormat/>
    <w:uiPriority w:val="0"/>
    <w:pPr>
      <w:widowControl/>
      <w:ind w:firstLine="454"/>
      <w:jc w:val="left"/>
    </w:pPr>
    <w:rPr>
      <w:rFonts w:ascii="Tahoma" w:hAnsi="Tahoma" w:cs="宋体"/>
      <w:kern w:val="0"/>
      <w:szCs w:val="20"/>
    </w:rPr>
  </w:style>
  <w:style w:type="character" w:customStyle="1" w:styleId="17">
    <w:name w:val="文档结构图 Char"/>
    <w:basedOn w:val="10"/>
    <w:link w:val="3"/>
    <w:semiHidden/>
    <w:qFormat/>
    <w:uiPriority w:val="0"/>
    <w:rPr>
      <w:rFonts w:ascii="Times New Roman" w:hAnsi="Times New Roman" w:eastAsia="宋体" w:cs="Times New Roman"/>
      <w:szCs w:val="24"/>
      <w:shd w:val="clear" w:color="auto" w:fill="000080"/>
    </w:rPr>
  </w:style>
  <w:style w:type="paragraph" w:customStyle="1" w:styleId="18">
    <w:name w:val="Char"/>
    <w:basedOn w:val="1"/>
    <w:qFormat/>
    <w:uiPriority w:val="0"/>
    <w:rPr>
      <w:rFonts w:ascii="Tahoma" w:hAnsi="Tahoma"/>
      <w:sz w:val="24"/>
      <w:szCs w:val="20"/>
    </w:rPr>
  </w:style>
  <w:style w:type="paragraph" w:customStyle="1" w:styleId="19">
    <w:name w:val="p0"/>
    <w:basedOn w:val="1"/>
    <w:qFormat/>
    <w:uiPriority w:val="0"/>
    <w:pPr>
      <w:widowControl/>
    </w:pPr>
    <w:rPr>
      <w:kern w:val="0"/>
      <w:szCs w:val="20"/>
    </w:rPr>
  </w:style>
  <w:style w:type="paragraph" w:styleId="2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9CEC32-E4CD-4573-9E52-CC973A1B830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4073</Words>
  <Characters>5576</Characters>
  <Lines>47</Lines>
  <Paragraphs>13</Paragraphs>
  <TotalTime>46</TotalTime>
  <ScaleCrop>false</ScaleCrop>
  <LinksUpToDate>false</LinksUpToDate>
  <CharactersWithSpaces>5709</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2022-09-27T02:29:00Z</dcterms:created>
  <dc:creator>User</dc:creator>
  <cp:lastModifiedBy>Icemaples</cp:lastModifiedBy>
  <dcterms:modified xsi:type="dcterms:W3CDTF">2023-10-07T05:33:29Z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B933374054D946DFAA283D590D74C416</vt:lpwstr>
  </property>
</Properties>
</file>