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CC60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0" w:after="260" w:line="224" w:lineRule="auto"/>
        <w:jc w:val="center"/>
        <w:textAlignment w:val="baseline"/>
        <w:rPr>
          <w:rStyle w:val="8"/>
          <w:rFonts w:hint="default" w:ascii="Times New Roman" w:hAnsi="Times New Roman" w:cs="Times New Roman"/>
          <w:color w:val="auto"/>
          <w:lang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6"/>
          <w:szCs w:val="36"/>
          <w:lang w:eastAsia="zh-CN" w:bidi="ar"/>
        </w:rPr>
        <w:t>202</w:t>
      </w:r>
      <w:r>
        <w:rPr>
          <w:rFonts w:hint="default" w:ascii="Times New Roman" w:hAnsi="Times New Roman" w:eastAsia="宋体" w:cs="Times New Roman"/>
          <w:b/>
          <w:bCs/>
          <w:color w:val="auto"/>
          <w:sz w:val="36"/>
          <w:szCs w:val="36"/>
          <w:lang w:val="en-US" w:eastAsia="zh-CN" w:bidi="ar"/>
        </w:rPr>
        <w:t>4</w:t>
      </w:r>
      <w:r>
        <w:rPr>
          <w:rStyle w:val="8"/>
          <w:rFonts w:hint="default" w:ascii="Times New Roman" w:hAnsi="Times New Roman" w:cs="Times New Roman"/>
          <w:color w:val="auto"/>
          <w:lang w:eastAsia="zh-CN" w:bidi="ar"/>
        </w:rPr>
        <w:t>年</w:t>
      </w:r>
      <w:r>
        <w:rPr>
          <w:rStyle w:val="8"/>
          <w:rFonts w:hint="default" w:ascii="Times New Roman" w:hAnsi="Times New Roman" w:cs="Times New Roman"/>
          <w:color w:val="auto"/>
          <w:lang w:val="en-US" w:eastAsia="zh-CN" w:bidi="ar"/>
        </w:rPr>
        <w:t>张家港</w:t>
      </w:r>
      <w:r>
        <w:rPr>
          <w:rStyle w:val="8"/>
          <w:rFonts w:hint="default" w:ascii="Times New Roman" w:hAnsi="Times New Roman" w:cs="Times New Roman"/>
          <w:color w:val="auto"/>
          <w:lang w:eastAsia="zh-CN" w:bidi="ar"/>
        </w:rPr>
        <w:t>市政府性基金项目目录</w:t>
      </w:r>
    </w:p>
    <w:p w14:paraId="12A0E055">
      <w:pPr>
        <w:jc w:val="center"/>
        <w:textAlignment w:val="center"/>
        <w:rPr>
          <w:rStyle w:val="9"/>
          <w:rFonts w:hint="default" w:ascii="Times New Roman" w:hAnsi="Times New Roman" w:cs="Times New Roman"/>
          <w:color w:val="auto"/>
          <w:lang w:eastAsia="zh-CN" w:bidi="ar"/>
        </w:rPr>
      </w:pPr>
    </w:p>
    <w:tbl>
      <w:tblPr>
        <w:tblStyle w:val="6"/>
        <w:tblW w:w="498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793"/>
        <w:gridCol w:w="3257"/>
        <w:gridCol w:w="4770"/>
        <w:gridCol w:w="3324"/>
      </w:tblGrid>
      <w:tr w14:paraId="1B6E9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218E90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2"/>
                <w:szCs w:val="22"/>
              </w:rPr>
            </w:pP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序号</w:t>
            </w: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7ED9AF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2"/>
                <w:szCs w:val="22"/>
              </w:rPr>
            </w:pP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项目名称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6D78D0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2"/>
                <w:szCs w:val="22"/>
              </w:rPr>
            </w:pP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征收标准</w:t>
            </w:r>
          </w:p>
        </w:tc>
        <w:tc>
          <w:tcPr>
            <w:tcW w:w="1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23FDFD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收费及资金管理文件依据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8B7B4C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2"/>
                <w:szCs w:val="22"/>
              </w:rPr>
            </w:pP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备注</w:t>
            </w:r>
          </w:p>
        </w:tc>
      </w:tr>
      <w:tr w14:paraId="2391D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64E5FD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0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一、收入归属地方（或地方参与分成）的政府性基金项目（</w:t>
            </w:r>
            <w:r>
              <w:rPr>
                <w:rStyle w:val="10"/>
                <w:rFonts w:hint="default" w:ascii="Times New Roman" w:hAnsi="Times New Roman" w:cs="Times New Roman" w:eastAsiaTheme="minorEastAsia"/>
                <w:color w:val="auto"/>
                <w:lang w:val="en-US" w:eastAsia="zh-CN" w:bidi="ar"/>
              </w:rPr>
              <w:t>7</w:t>
            </w:r>
            <w:r>
              <w:rPr>
                <w:rStyle w:val="10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项）</w:t>
            </w:r>
          </w:p>
        </w:tc>
      </w:tr>
      <w:tr w14:paraId="3A5FA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31D253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9802F4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森林植被恢复费</w:t>
            </w:r>
          </w:p>
        </w:tc>
        <w:tc>
          <w:tcPr>
            <w:tcW w:w="1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66FFAD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区分使用林地情况，标准为</w:t>
            </w: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－</w:t>
            </w: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40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元</w:t>
            </w: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/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平方米。</w:t>
            </w:r>
          </w:p>
        </w:tc>
        <w:tc>
          <w:tcPr>
            <w:tcW w:w="1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 w14:paraId="7E0C296C">
            <w:pPr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《森林法》，苏农林〔1993〕03号、苏财综〔93〕5号、苏价费联〔1993〕4号，财综〔2002〕73号，苏财综〔2003〕13号，财税〔2015〕122号，苏财综〔2016〕20号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6DAE23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农村居民规定标准住宅、农村集体经济组织修建的公益性项目及保障性安居工程减免</w:t>
            </w:r>
          </w:p>
        </w:tc>
      </w:tr>
      <w:tr w14:paraId="6DC7F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01DC00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2B2444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水利建设基金</w:t>
            </w:r>
          </w:p>
        </w:tc>
        <w:tc>
          <w:tcPr>
            <w:tcW w:w="1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1ABA6C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　</w:t>
            </w:r>
          </w:p>
        </w:tc>
        <w:tc>
          <w:tcPr>
            <w:tcW w:w="1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5F92FE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国发〔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1997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33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号，财综函〔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33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号，财办综〔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111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66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1DAD89">
            <w:pPr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0"/>
                <w:szCs w:val="20"/>
                <w:lang w:eastAsia="zh-CN" w:bidi="ar"/>
              </w:rPr>
              <w:t>　</w:t>
            </w:r>
          </w:p>
        </w:tc>
      </w:tr>
      <w:tr w14:paraId="78B1F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404E0D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　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9C7264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(1)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按规定提取和安排</w:t>
            </w:r>
          </w:p>
        </w:tc>
        <w:tc>
          <w:tcPr>
            <w:tcW w:w="1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C15AEA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市、县水利建设基金的来源为：市、县收取的城市基础设施配套费提取3％，城建税中划出不少于15%用于城市防洪和水源工程建设，市县人民政府确定的政府性基金和行政事业性收费项目提取部分。</w:t>
            </w:r>
          </w:p>
        </w:tc>
        <w:tc>
          <w:tcPr>
            <w:tcW w:w="1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523CE1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2023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A8F2D4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　</w:t>
            </w:r>
          </w:p>
        </w:tc>
      </w:tr>
      <w:tr w14:paraId="35195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2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680734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　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2746E9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(2)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农业重点开发建设资金</w:t>
            </w:r>
          </w:p>
        </w:tc>
        <w:tc>
          <w:tcPr>
            <w:tcW w:w="1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4A16B1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国家、集体、个人非农业建设新征(拨)占用土地时缴纳，2400元/亩。</w:t>
            </w:r>
          </w:p>
          <w:p w14:paraId="0D19219B">
            <w:pPr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扣除2%业务费、1%奖励后，省60%、市10%、县区30%。</w:t>
            </w:r>
          </w:p>
        </w:tc>
        <w:tc>
          <w:tcPr>
            <w:tcW w:w="1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5F91ED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苏政办发〔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号，财综字〔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1998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143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号，苏政办发〔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号、苏政发〔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号，苏政办发〔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115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号，苏政办发〔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137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号，苏价费〔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291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号，苏发改服价发〔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2018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1348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,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9A3AD3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中小学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(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含幼儿园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)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校舍安全工程建设免收。自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日起继续征收，截止日期财政部另行明确。</w:t>
            </w:r>
          </w:p>
        </w:tc>
      </w:tr>
      <w:tr w14:paraId="7A676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430476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6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F775E3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文化事业建设费</w:t>
            </w:r>
          </w:p>
        </w:tc>
        <w:tc>
          <w:tcPr>
            <w:tcW w:w="1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C07AF6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各种营业性娱乐场所和广播电台、电视台和报纸、刊物等广告媒介单位以及户外广告经营单位营业收入的</w:t>
            </w: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3%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，营改增试点行业按提供增值税应税服务取得的销售额的</w:t>
            </w:r>
            <w:r>
              <w:rPr>
                <w:rStyle w:val="13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</w:t>
            </w: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％计征。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省集中市县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。</w:t>
            </w:r>
          </w:p>
        </w:tc>
        <w:tc>
          <w:tcPr>
            <w:tcW w:w="1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AAA5FA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国发〔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号，财税字〔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号，国办发〔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43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14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号，苏发〔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74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33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68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2013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2014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53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号，财政部、国家税务总局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25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号公告、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公告，苏政规〔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2023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  <w:r>
              <w:rPr>
                <w:rStyle w:val="14"/>
                <w:rFonts w:hint="eastAsia" w:ascii="Times New Roman" w:hAnsi="Times New Roman" w:cs="Times New Roman" w:eastAsiaTheme="minorEastAsia"/>
                <w:color w:val="auto"/>
                <w:lang w:eastAsia="zh-CN" w:bidi="ar"/>
              </w:rPr>
              <w:t>，</w:t>
            </w:r>
            <w:r>
              <w:rPr>
                <w:rStyle w:val="14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财税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</w:t>
            </w:r>
            <w:r>
              <w:rPr>
                <w:rStyle w:val="17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5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4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7号，苏财综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</w:t>
            </w:r>
            <w:r>
              <w:rPr>
                <w:rStyle w:val="17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5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4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10号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AD233F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增值税小规模纳税人中月销售额不超过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万元（按季纳税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万元）的企业和非企业性单位提供的应税服务免征。自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日至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</w:t>
            </w:r>
            <w:r>
              <w:rPr>
                <w:rStyle w:val="15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7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日，对归属中央和地方收入的文化事业建设费，统一按照缴纳义务人应缴费额的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50%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减征。</w:t>
            </w:r>
          </w:p>
        </w:tc>
      </w:tr>
      <w:tr w14:paraId="71221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8" w:hRule="atLeast"/>
        </w:trPr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DE199F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6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72761C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教育费附加</w:t>
            </w:r>
          </w:p>
        </w:tc>
        <w:tc>
          <w:tcPr>
            <w:tcW w:w="1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4CBE98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我市所有缴纳增值税、消费税的单位和个人实际缴纳额的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3%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。</w:t>
            </w:r>
            <w:r>
              <w:rPr>
                <w:rStyle w:val="16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教育费附加为市县收入，按征收级次缴入同级国库。</w:t>
            </w:r>
          </w:p>
        </w:tc>
        <w:tc>
          <w:tcPr>
            <w:tcW w:w="1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18A0A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《教育法》，国务院令第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号，国发〔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1986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号，中发〔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号，国发〔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1994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118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号，苏价服〔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159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2014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号，财政部、国家税务总局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号公告、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号公告，苏财税〔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号，国办发〔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号，苏政办发〔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号，苏政规〔2023〕1号，苏政办规〔2023〕9号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678D97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保障性安居工程建设免收。自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日起，纳税的月销售额或营业额不超过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万元（含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万元）以及按季纳税的季度销售额或营业额不超过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万元（含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万元）的缴纳义务人免征。自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日至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2024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日，对增值税小规模纳税人、小型微利企业和个体工商户按照税额的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50%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减征。自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日起，纳入产教融合型企业建设培育范围的试点企业，符合规定的，可按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30%</w:t>
            </w:r>
            <w:r>
              <w:rPr>
                <w:rStyle w:val="18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比例，抵免当年应缴教育费附加。</w:t>
            </w:r>
          </w:p>
        </w:tc>
      </w:tr>
      <w:tr w14:paraId="7D6D0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2" w:hRule="atLeast"/>
        </w:trPr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CB3E84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5</w:t>
            </w:r>
          </w:p>
        </w:tc>
        <w:tc>
          <w:tcPr>
            <w:tcW w:w="6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17B4DD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地方教育附加</w:t>
            </w:r>
          </w:p>
        </w:tc>
        <w:tc>
          <w:tcPr>
            <w:tcW w:w="1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1E161D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我市所有缴纳增值税、消费税的单位和个人实际缴纳额的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2%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。</w:t>
            </w:r>
            <w:r>
              <w:rPr>
                <w:rStyle w:val="16"/>
                <w:rFonts w:hint="eastAsia" w:ascii="Times New Roman" w:hAnsi="Times New Roman" w:cs="Times New Roman" w:eastAsiaTheme="minorEastAsia"/>
                <w:color w:val="auto"/>
                <w:lang w:val="en-US" w:eastAsia="zh-CN" w:bidi="ar"/>
              </w:rPr>
              <w:t>地方教育附加实行省与市县分成，5%为省级收入缴入省级国库，95%为市县收入按征收级次缴入同级国库。</w:t>
            </w:r>
          </w:p>
        </w:tc>
        <w:tc>
          <w:tcPr>
            <w:tcW w:w="1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FC860B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《教育法》，中发〔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号，国发〔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1994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1994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号，财综函〔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号、苏政发〔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号，苏价服〔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159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号，财政部、国家税务总局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号公告、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号公告，苏财税〔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号，国办发〔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号，苏政办发〔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号，苏政规〔2023〕1号，苏政办规〔2023〕9号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81E34A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在法律未作调整的情况下继续保留，保障性安居工程建设免收。自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2016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日起，纳税的月销售额或营业额不超过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万元（含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万元）以及按季纳税的季度销售额或营业额不超过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万元（含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万元）的缴纳义务人免征。自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日至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日，对增值税小规模纳税人按照税额的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50%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减征；自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日至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2024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日，对增值税小规模纳税人、小型微利企业和个体工商户按照税额的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50%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减征。自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日起，纳入产教融合型企业建设培育范围的试点企业，符合规定的，可按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比例，抵免当年应缴地方教育附加。</w:t>
            </w:r>
          </w:p>
        </w:tc>
      </w:tr>
      <w:tr w14:paraId="2E299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</w:trPr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AEBF9D">
            <w:pPr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6</w:t>
            </w:r>
          </w:p>
        </w:tc>
        <w:tc>
          <w:tcPr>
            <w:tcW w:w="6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B35F0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残疾人就业保障金</w:t>
            </w:r>
          </w:p>
        </w:tc>
        <w:tc>
          <w:tcPr>
            <w:tcW w:w="1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4F8583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保障金年缴纳额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=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（上年用人单位在职职工人数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×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规定的安排残疾人就业比例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-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上年用人单位实际安排的残疾人就业人数）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×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上年用人单位在职职工年平均工资。省集中市县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。自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日起至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月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31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日，对安排残疾人就业比例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（含）以上但低于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1.5%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的征缴单位，征收比例不高于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50%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；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以下的征收比例不高于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90%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。</w:t>
            </w:r>
          </w:p>
        </w:tc>
        <w:tc>
          <w:tcPr>
            <w:tcW w:w="1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D41B46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《残疾人保障法》，财综字〔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号，省政府令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年第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172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167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号、苏价费〔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461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号、苏残劳〔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1996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2001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33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92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号，苏地税发〔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2006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262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2014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122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17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号，财税〔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号、苏财综〔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号，发改价格规〔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2019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2015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号、苏发改收费发〔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2020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〕</w:t>
            </w:r>
            <w:r>
              <w:rPr>
                <w:rStyle w:val="17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438</w:t>
            </w:r>
            <w:r>
              <w:rPr>
                <w:rStyle w:val="16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号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DFC04F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征收标准上限为当地社会平均工资的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2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倍。在职职工人数在</w:t>
            </w:r>
            <w:r>
              <w:rPr>
                <w:rStyle w:val="15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人（含）以下的企业，暂免征收。</w:t>
            </w:r>
          </w:p>
        </w:tc>
      </w:tr>
      <w:tr w14:paraId="20FF2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</w:trPr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A3EF3A">
            <w:pPr>
              <w:jc w:val="center"/>
              <w:textAlignment w:val="center"/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  <w:t>7</w:t>
            </w: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2D604">
            <w:pPr>
              <w:textAlignment w:val="center"/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城市基础设施配套费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F2663B">
            <w:pPr>
              <w:textAlignment w:val="center"/>
              <w:rPr>
                <w:rStyle w:val="12"/>
                <w:rFonts w:hint="default" w:ascii="Times New Roman" w:hAnsi="Times New Roman" w:cs="Times New Roman" w:eastAsiaTheme="minorEastAsia"/>
                <w:color w:val="auto"/>
                <w:lang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县城每平方米75元，中等城市90元，大城市105元。在建制镇规划区内进行各类工程建设的单位和沿街建筑的个人，每平方米20-50元。</w:t>
            </w:r>
          </w:p>
        </w:tc>
        <w:tc>
          <w:tcPr>
            <w:tcW w:w="1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B8FB7E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财综函〔2002〕3号，苏政发〔1998〕48号，苏价费〔1998〕286号、苏财综〔1998〕135号，苏政发〔2002〕105号，苏价服〔2003〕115号、苏财综〔2003〕37号（镇江），苏财综〔2003〕24号（统一南京市收取办法），苏价服〔2006〕225号、苏财综〔2006〕42号，苏价服〔2006〕472号、苏财综〔2006〕97号，苏价涉〔1994〕76号、苏财综〔94〕66号，苏办发〔1996〕19号，苏价服〔2001〕377号，苏价服〔2004〕4号、苏财综〔2004〕1号，苏价费〔2009〕291号、苏财综〔2009〕47号，苏价服〔2012〕159号，苏价服〔2014〕49号，苏发改服价发〔2018〕1348号，财税〔2019〕53号，苏财综〔2019〕38号，财政部公告2019年第76号，财综〔2007〕53号，财综〔2011〕41号，国办发〔2011〕45号，财综〔2012〕5号，财综〔2012〕99号，苏政办发〔2021〕101号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B0D72">
            <w:pPr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对农民在建制镇规划区范围内建住房、中小学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含幼儿园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 w:bidi="ar"/>
              </w:rPr>
              <w:t>校舍安全工程、保障性安居工程建设免收。自2019年7月1日起，对易地扶贫搬迁项目免征。自2019年6月1日至2025年12月31日，用于提供社区养老、托育、家政服务的建设项目免征。</w:t>
            </w:r>
          </w:p>
        </w:tc>
      </w:tr>
    </w:tbl>
    <w:p w14:paraId="7BC784D3">
      <w:pPr>
        <w:tabs>
          <w:tab w:val="left" w:pos="3475"/>
        </w:tabs>
        <w:rPr>
          <w:rStyle w:val="9"/>
          <w:rFonts w:hint="default" w:ascii="Times New Roman" w:hAnsi="Times New Roman" w:cs="Times New Roman"/>
          <w:color w:val="auto"/>
          <w:sz w:val="20"/>
          <w:szCs w:val="20"/>
          <w:lang w:eastAsia="zh-CN" w:bidi="ar"/>
        </w:rPr>
      </w:pPr>
    </w:p>
    <w:p w14:paraId="3CE2C86C">
      <w:pPr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6840" w:h="11910" w:orient="landscape"/>
      <w:pgMar w:top="1599" w:right="1431" w:bottom="1460" w:left="1790" w:header="0" w:footer="1492" w:gutter="0"/>
      <w:pgNumType w:fmt="decimal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DB7C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E71D2D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 w:eastAsia="宋体"/>
                              <w:lang w:val="en-US" w:eastAsia="zh-CN"/>
                            </w:rPr>
                            <w:t>4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E71D2D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 w:eastAsia="宋体"/>
                        <w:lang w:val="en-US" w:eastAsia="zh-CN"/>
                      </w:rPr>
                      <w:t>4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lNDczMmIzMDFmMTZiNTMxMjM5MTE5ZDU1OTE2NmIifQ=="/>
  </w:docVars>
  <w:rsids>
    <w:rsidRoot w:val="00000000"/>
    <w:rsid w:val="0004613B"/>
    <w:rsid w:val="01F26EA1"/>
    <w:rsid w:val="02294DC2"/>
    <w:rsid w:val="0246544B"/>
    <w:rsid w:val="05871B00"/>
    <w:rsid w:val="076834B8"/>
    <w:rsid w:val="08C31148"/>
    <w:rsid w:val="0A0F245C"/>
    <w:rsid w:val="0A1D0183"/>
    <w:rsid w:val="0C75298C"/>
    <w:rsid w:val="0CD44149"/>
    <w:rsid w:val="0D62478D"/>
    <w:rsid w:val="0F78329E"/>
    <w:rsid w:val="103773C1"/>
    <w:rsid w:val="10B17FDB"/>
    <w:rsid w:val="11AD06CE"/>
    <w:rsid w:val="15FF6C66"/>
    <w:rsid w:val="16930A17"/>
    <w:rsid w:val="16BA7043"/>
    <w:rsid w:val="17AE6030"/>
    <w:rsid w:val="192F00CE"/>
    <w:rsid w:val="1A7A1027"/>
    <w:rsid w:val="1C7225D0"/>
    <w:rsid w:val="1F072CD9"/>
    <w:rsid w:val="21ED1136"/>
    <w:rsid w:val="243A4F0C"/>
    <w:rsid w:val="250048AF"/>
    <w:rsid w:val="27B26FAE"/>
    <w:rsid w:val="2BA6408F"/>
    <w:rsid w:val="2D7E3A80"/>
    <w:rsid w:val="30646EBC"/>
    <w:rsid w:val="312075E2"/>
    <w:rsid w:val="363650E4"/>
    <w:rsid w:val="36E866BB"/>
    <w:rsid w:val="38756529"/>
    <w:rsid w:val="38E12073"/>
    <w:rsid w:val="38E123BA"/>
    <w:rsid w:val="39DB31D8"/>
    <w:rsid w:val="3B726E7F"/>
    <w:rsid w:val="3CEF030E"/>
    <w:rsid w:val="3E713C45"/>
    <w:rsid w:val="3ECC1CC2"/>
    <w:rsid w:val="3F3B5CB1"/>
    <w:rsid w:val="3FB26C2E"/>
    <w:rsid w:val="402D46F6"/>
    <w:rsid w:val="40C33728"/>
    <w:rsid w:val="439614C1"/>
    <w:rsid w:val="45333BA3"/>
    <w:rsid w:val="46121CC2"/>
    <w:rsid w:val="46683C12"/>
    <w:rsid w:val="470E52AF"/>
    <w:rsid w:val="477466CD"/>
    <w:rsid w:val="4942228E"/>
    <w:rsid w:val="4DE74A23"/>
    <w:rsid w:val="50E850A1"/>
    <w:rsid w:val="519B456B"/>
    <w:rsid w:val="527A33E4"/>
    <w:rsid w:val="539B0F8C"/>
    <w:rsid w:val="541F47CD"/>
    <w:rsid w:val="580D5D2D"/>
    <w:rsid w:val="59E17BCE"/>
    <w:rsid w:val="5B7F0FDC"/>
    <w:rsid w:val="5C4834B7"/>
    <w:rsid w:val="5C605EB5"/>
    <w:rsid w:val="5CCA7472"/>
    <w:rsid w:val="5D3774DA"/>
    <w:rsid w:val="601F50F3"/>
    <w:rsid w:val="60F80B29"/>
    <w:rsid w:val="62D11CDD"/>
    <w:rsid w:val="63C01CBD"/>
    <w:rsid w:val="64CB1391"/>
    <w:rsid w:val="669D12CA"/>
    <w:rsid w:val="67675E09"/>
    <w:rsid w:val="6A333C56"/>
    <w:rsid w:val="6CDF3FA6"/>
    <w:rsid w:val="6D89362F"/>
    <w:rsid w:val="727548D3"/>
    <w:rsid w:val="7345423F"/>
    <w:rsid w:val="76CB3A99"/>
    <w:rsid w:val="7803648D"/>
    <w:rsid w:val="7A89074C"/>
    <w:rsid w:val="7BCD7E9F"/>
    <w:rsid w:val="7D8C1F2E"/>
    <w:rsid w:val="7E6B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4"/>
    </w:rPr>
  </w:style>
  <w:style w:type="character" w:customStyle="1" w:styleId="8">
    <w:name w:val="font131"/>
    <w:basedOn w:val="7"/>
    <w:qFormat/>
    <w:uiPriority w:val="0"/>
    <w:rPr>
      <w:rFonts w:ascii="黑体" w:hAnsi="宋体" w:eastAsia="黑体" w:cs="黑体"/>
      <w:b/>
      <w:bCs/>
      <w:color w:val="auto"/>
      <w:sz w:val="36"/>
      <w:szCs w:val="36"/>
      <w:u w:val="none"/>
    </w:rPr>
  </w:style>
  <w:style w:type="character" w:customStyle="1" w:styleId="9">
    <w:name w:val="font141"/>
    <w:basedOn w:val="7"/>
    <w:qFormat/>
    <w:uiPriority w:val="0"/>
    <w:rPr>
      <w:rFonts w:ascii="方正仿宋_GBK" w:hAnsi="方正仿宋_GBK" w:eastAsia="方正仿宋_GBK" w:cs="方正仿宋_GBK"/>
      <w:b/>
      <w:bCs/>
      <w:color w:val="auto"/>
      <w:sz w:val="22"/>
      <w:szCs w:val="22"/>
      <w:u w:val="none"/>
    </w:rPr>
  </w:style>
  <w:style w:type="character" w:customStyle="1" w:styleId="10">
    <w:name w:val="font151"/>
    <w:basedOn w:val="7"/>
    <w:qFormat/>
    <w:uiPriority w:val="0"/>
    <w:rPr>
      <w:rFonts w:hint="eastAsia" w:ascii="方正仿宋_GBK" w:hAnsi="方正仿宋_GBK" w:eastAsia="方正仿宋_GBK" w:cs="方正仿宋_GBK"/>
      <w:b/>
      <w:bCs/>
      <w:color w:val="auto"/>
      <w:sz w:val="20"/>
      <w:szCs w:val="20"/>
      <w:u w:val="none"/>
    </w:rPr>
  </w:style>
  <w:style w:type="character" w:customStyle="1" w:styleId="11">
    <w:name w:val="font51"/>
    <w:basedOn w:val="7"/>
    <w:qFormat/>
    <w:uiPriority w:val="0"/>
    <w:rPr>
      <w:rFonts w:hint="default" w:ascii="Times New Roman" w:hAnsi="Times New Roman" w:cs="Times New Roman"/>
      <w:b/>
      <w:bCs/>
      <w:color w:val="auto"/>
      <w:sz w:val="20"/>
      <w:szCs w:val="20"/>
      <w:u w:val="none"/>
    </w:rPr>
  </w:style>
  <w:style w:type="character" w:customStyle="1" w:styleId="12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auto"/>
      <w:sz w:val="20"/>
      <w:szCs w:val="20"/>
      <w:u w:val="none"/>
    </w:rPr>
  </w:style>
  <w:style w:type="character" w:customStyle="1" w:styleId="13">
    <w:name w:val="font61"/>
    <w:basedOn w:val="7"/>
    <w:qFormat/>
    <w:uiPriority w:val="0"/>
    <w:rPr>
      <w:rFonts w:hint="default" w:ascii="Times New Roman" w:hAnsi="Times New Roman" w:cs="Times New Roman"/>
      <w:color w:val="auto"/>
      <w:sz w:val="20"/>
      <w:szCs w:val="20"/>
      <w:u w:val="none"/>
    </w:rPr>
  </w:style>
  <w:style w:type="character" w:customStyle="1" w:styleId="14">
    <w:name w:val="font16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5">
    <w:name w:val="font11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6">
    <w:name w:val="font9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7">
    <w:name w:val="font8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10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9">
    <w:name w:val="font17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20">
    <w:name w:val="Subtle Emphasis"/>
    <w:basedOn w:val="7"/>
    <w:qFormat/>
    <w:uiPriority w:val="99"/>
    <w:rPr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2962</Words>
  <Characters>3759</Characters>
  <Lines>0</Lines>
  <Paragraphs>0</Paragraphs>
  <TotalTime>17</TotalTime>
  <ScaleCrop>false</ScaleCrop>
  <LinksUpToDate>false</LinksUpToDate>
  <CharactersWithSpaces>3764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2024-04-29T06:37:00Z</dcterms:created>
  <dc:creator>User</dc:creator>
  <cp:lastModifiedBy>小陆宝</cp:lastModifiedBy>
  <cp:lastPrinted>2024-06-06T08:03:00Z</cp:lastPrinted>
  <dcterms:modified xsi:type="dcterms:W3CDTF">2025-05-13T01:23:50Z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2390145EDF2E4FADB58F208577CBDC5B_13</vt:lpwstr>
  </property>
  <property fmtid="{D5CDD505-2E9C-101B-9397-08002B2CF9AE}" pid="4" name="KSOTemplateDocerSaveRecord">
    <vt:lpwstr>eyJoZGlkIjoiOTJiMzc3YzhlNjgwM2E2NjUyYWU2NzJlZDg4MDNkYjgiLCJ1c2VySWQiOiI3NzkxODc1MjcifQ==</vt:lpwstr>
  </property>
</Properties>
</file>